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62" w:rsidRDefault="00496662" w:rsidP="00303718">
      <w:pPr>
        <w:jc w:val="center"/>
        <w:rPr>
          <w:b/>
          <w:bCs/>
          <w:sz w:val="32"/>
          <w:szCs w:val="32"/>
        </w:rPr>
      </w:pPr>
      <w:r w:rsidRPr="00303718">
        <w:rPr>
          <w:b/>
          <w:bCs/>
          <w:sz w:val="32"/>
          <w:szCs w:val="32"/>
        </w:rPr>
        <w:t>ACUERDO DE CO</w:t>
      </w:r>
      <w:r>
        <w:rPr>
          <w:b/>
          <w:bCs/>
          <w:sz w:val="32"/>
          <w:szCs w:val="32"/>
        </w:rPr>
        <w:t>OPERACION TRANSNACIONAL RED  YOUTH I+E</w:t>
      </w:r>
    </w:p>
    <w:p w:rsidR="00496662" w:rsidRDefault="00496662" w:rsidP="00303718">
      <w:pPr>
        <w:rPr>
          <w:b/>
          <w:bCs/>
          <w:sz w:val="32"/>
          <w:szCs w:val="32"/>
          <w:u w:val="single"/>
        </w:rPr>
      </w:pPr>
      <w:r w:rsidRPr="00303718">
        <w:rPr>
          <w:b/>
          <w:bCs/>
          <w:sz w:val="32"/>
          <w:szCs w:val="32"/>
          <w:u w:val="single"/>
        </w:rPr>
        <w:t>INDICE</w:t>
      </w:r>
    </w:p>
    <w:p w:rsidR="00496662" w:rsidRDefault="00496662" w:rsidP="00303718">
      <w:pPr>
        <w:pStyle w:val="ListParagraph"/>
        <w:numPr>
          <w:ilvl w:val="0"/>
          <w:numId w:val="1"/>
        </w:numPr>
        <w:rPr>
          <w:sz w:val="32"/>
          <w:szCs w:val="32"/>
        </w:rPr>
      </w:pPr>
      <w:r w:rsidRPr="00303718">
        <w:rPr>
          <w:sz w:val="32"/>
          <w:szCs w:val="32"/>
        </w:rPr>
        <w:t>FUNDAMENTOS Y OBJETIVOS DEL PROYECTO</w:t>
      </w:r>
    </w:p>
    <w:p w:rsidR="00496662" w:rsidRDefault="00496662" w:rsidP="00303718">
      <w:pPr>
        <w:pStyle w:val="ListParagraph"/>
        <w:numPr>
          <w:ilvl w:val="0"/>
          <w:numId w:val="1"/>
        </w:numPr>
        <w:rPr>
          <w:sz w:val="32"/>
          <w:szCs w:val="32"/>
        </w:rPr>
      </w:pPr>
      <w:r>
        <w:rPr>
          <w:sz w:val="32"/>
          <w:szCs w:val="32"/>
        </w:rPr>
        <w:t>INFORMACION GENERAL DE CADA SOCIO</w:t>
      </w:r>
    </w:p>
    <w:p w:rsidR="00496662" w:rsidRDefault="00496662" w:rsidP="00303718">
      <w:pPr>
        <w:pStyle w:val="ListParagraph"/>
        <w:numPr>
          <w:ilvl w:val="0"/>
          <w:numId w:val="1"/>
        </w:numPr>
        <w:rPr>
          <w:sz w:val="32"/>
          <w:szCs w:val="32"/>
        </w:rPr>
      </w:pPr>
      <w:r>
        <w:rPr>
          <w:sz w:val="32"/>
          <w:szCs w:val="32"/>
        </w:rPr>
        <w:t>PROGRAMA Y METODOLOGÍA DE TRABAJO</w:t>
      </w:r>
    </w:p>
    <w:p w:rsidR="00496662" w:rsidRPr="00303718" w:rsidRDefault="00496662" w:rsidP="00303718">
      <w:pPr>
        <w:pStyle w:val="ListParagraph"/>
        <w:numPr>
          <w:ilvl w:val="0"/>
          <w:numId w:val="1"/>
        </w:numPr>
        <w:rPr>
          <w:sz w:val="32"/>
          <w:szCs w:val="32"/>
        </w:rPr>
      </w:pPr>
      <w:r>
        <w:rPr>
          <w:sz w:val="32"/>
          <w:szCs w:val="32"/>
        </w:rPr>
        <w:t>CALENDARIO DE TRABAJO</w:t>
      </w:r>
    </w:p>
    <w:p w:rsidR="00496662" w:rsidRDefault="00496662" w:rsidP="00303718">
      <w:pPr>
        <w:rPr>
          <w:sz w:val="32"/>
          <w:szCs w:val="32"/>
        </w:rPr>
      </w:pPr>
    </w:p>
    <w:p w:rsidR="00496662" w:rsidRDefault="00496662">
      <w:pPr>
        <w:rPr>
          <w:sz w:val="32"/>
          <w:szCs w:val="32"/>
        </w:rPr>
      </w:pPr>
      <w:r>
        <w:rPr>
          <w:sz w:val="32"/>
          <w:szCs w:val="32"/>
        </w:rPr>
        <w:br w:type="page"/>
      </w:r>
    </w:p>
    <w:p w:rsidR="00496662" w:rsidRDefault="00496662" w:rsidP="00303718">
      <w:pPr>
        <w:rPr>
          <w:sz w:val="32"/>
          <w:szCs w:val="32"/>
        </w:rPr>
      </w:pPr>
      <w:r>
        <w:rPr>
          <w:sz w:val="32"/>
          <w:szCs w:val="32"/>
        </w:rPr>
        <w:t>FUNDAMENTOS Y OBJETIVOS DEL PROYECTO</w:t>
      </w:r>
    </w:p>
    <w:p w:rsidR="00496662" w:rsidRDefault="00496662" w:rsidP="00303718">
      <w:pPr>
        <w:jc w:val="both"/>
        <w:rPr>
          <w:rFonts w:ascii="Verdana" w:hAnsi="Verdana" w:cs="Verdana"/>
          <w:sz w:val="20"/>
          <w:szCs w:val="20"/>
        </w:rPr>
      </w:pPr>
      <w:r>
        <w:rPr>
          <w:rFonts w:ascii="Verdana" w:hAnsi="Verdana" w:cs="Verdana"/>
          <w:sz w:val="20"/>
          <w:szCs w:val="20"/>
        </w:rPr>
        <w:t>El abandono</w:t>
      </w:r>
      <w:r w:rsidRPr="00D91627">
        <w:rPr>
          <w:rFonts w:ascii="Verdana" w:hAnsi="Verdana" w:cs="Verdana"/>
          <w:sz w:val="20"/>
          <w:szCs w:val="20"/>
        </w:rPr>
        <w:t xml:space="preserve"> escolar es un fenómeno alarmante que preocupa a muchos países, especialmente a los de la Unión Europea, y cuya reducción se ha con</w:t>
      </w:r>
      <w:r>
        <w:rPr>
          <w:rFonts w:ascii="Verdana" w:hAnsi="Verdana" w:cs="Verdana"/>
          <w:sz w:val="20"/>
          <w:szCs w:val="20"/>
        </w:rPr>
        <w:t>vertido en un desafío para todos</w:t>
      </w:r>
      <w:r w:rsidRPr="00D91627">
        <w:rPr>
          <w:rFonts w:ascii="Verdana" w:hAnsi="Verdana" w:cs="Verdana"/>
          <w:sz w:val="20"/>
          <w:szCs w:val="20"/>
        </w:rPr>
        <w:t xml:space="preserve">. Esto lleva a reiterados llamamientos a los distintos Gobiernos europeos para poner en marcha medidas urgentes para combatirlo. </w:t>
      </w:r>
    </w:p>
    <w:p w:rsidR="00496662" w:rsidRPr="00D91627" w:rsidRDefault="00496662" w:rsidP="00303718">
      <w:pPr>
        <w:jc w:val="both"/>
        <w:rPr>
          <w:rFonts w:ascii="Verdana" w:hAnsi="Verdana" w:cs="Verdana"/>
          <w:sz w:val="20"/>
          <w:szCs w:val="20"/>
        </w:rPr>
      </w:pPr>
      <w:r w:rsidRPr="00D91627">
        <w:rPr>
          <w:rFonts w:ascii="Verdana" w:hAnsi="Verdana" w:cs="Verdana"/>
          <w:sz w:val="20"/>
          <w:szCs w:val="20"/>
        </w:rPr>
        <w:t>El mantenimiento de altas tasas de fracaso escolar provoca graves consecuencias en el alumnado y en la sociedad. Las personas que abandonan prematuramente el sistema educativo o que no alcanzan la cualificación mínima necesaria tienen una escasa confianza en sus posibilidades y una baja motivación para incorporarse a otros programas de formación</w:t>
      </w:r>
      <w:r>
        <w:rPr>
          <w:rFonts w:ascii="Verdana" w:hAnsi="Verdana" w:cs="Verdana"/>
          <w:sz w:val="20"/>
          <w:szCs w:val="20"/>
        </w:rPr>
        <w:t xml:space="preserve"> o al empleo</w:t>
      </w:r>
      <w:r w:rsidRPr="00D91627">
        <w:rPr>
          <w:rFonts w:ascii="Verdana" w:hAnsi="Verdana" w:cs="Verdana"/>
          <w:sz w:val="20"/>
          <w:szCs w:val="20"/>
        </w:rPr>
        <w:t xml:space="preserve">. La probabilidad de encontrar un trabajo, su estabilidad en el mismo y su retribución económica es menor que en los casos de mayor nivel educativo. </w:t>
      </w:r>
      <w:r>
        <w:rPr>
          <w:rFonts w:ascii="Verdana" w:hAnsi="Verdana" w:cs="Verdana"/>
          <w:sz w:val="20"/>
          <w:szCs w:val="20"/>
        </w:rPr>
        <w:t xml:space="preserve">Es alarmante su dificultad para </w:t>
      </w:r>
      <w:r w:rsidRPr="00D91627">
        <w:rPr>
          <w:rFonts w:ascii="Verdana" w:hAnsi="Verdana" w:cs="Verdana"/>
          <w:sz w:val="20"/>
          <w:szCs w:val="20"/>
        </w:rPr>
        <w:t>adaptarse a las crecientes exigencias laborales, por lo que el riesgo de marginación económica y social se incrementa. El problema del fracaso escolar no es sólo un problema educativo, sino también un problema con enormes repercusiones individuales y sociales.</w:t>
      </w:r>
    </w:p>
    <w:p w:rsidR="00496662" w:rsidRPr="00D91627" w:rsidRDefault="00496662" w:rsidP="00303718">
      <w:pPr>
        <w:jc w:val="both"/>
        <w:rPr>
          <w:rFonts w:ascii="Verdana" w:hAnsi="Verdana" w:cs="Verdana"/>
          <w:i/>
          <w:iCs/>
          <w:sz w:val="20"/>
          <w:szCs w:val="20"/>
        </w:rPr>
      </w:pPr>
      <w:r>
        <w:rPr>
          <w:rFonts w:ascii="Verdana" w:hAnsi="Verdana" w:cs="Verdana"/>
          <w:sz w:val="20"/>
          <w:szCs w:val="20"/>
        </w:rPr>
        <w:t>Las personas</w:t>
      </w:r>
      <w:r w:rsidRPr="00D91627">
        <w:rPr>
          <w:rFonts w:ascii="Verdana" w:hAnsi="Verdana" w:cs="Verdana"/>
          <w:sz w:val="20"/>
          <w:szCs w:val="20"/>
        </w:rPr>
        <w:t xml:space="preserve"> que tras el fracaso escolar, acceden al trabajo</w:t>
      </w:r>
      <w:r>
        <w:rPr>
          <w:rFonts w:ascii="Verdana" w:hAnsi="Verdana" w:cs="Verdana"/>
          <w:sz w:val="20"/>
          <w:szCs w:val="20"/>
        </w:rPr>
        <w:t>,</w:t>
      </w:r>
      <w:r w:rsidRPr="00D91627">
        <w:rPr>
          <w:rFonts w:ascii="Verdana" w:hAnsi="Verdana" w:cs="Verdana"/>
          <w:sz w:val="20"/>
          <w:szCs w:val="20"/>
        </w:rPr>
        <w:t xml:space="preserve"> suelen estar en situación de inestabilidad laboral, por su escasa formación e incapacidad para adaptarse a los cambios que continuamente está exigiendo el mercado laboral. Estamos, por tanto, ante un  fenómeno que debe considerarse como </w:t>
      </w:r>
      <w:r w:rsidRPr="00D91627">
        <w:rPr>
          <w:rFonts w:ascii="Verdana" w:hAnsi="Verdana" w:cs="Verdana"/>
          <w:i/>
          <w:iCs/>
          <w:sz w:val="20"/>
          <w:szCs w:val="20"/>
        </w:rPr>
        <w:t>un problema estructural de ajuste entre la enseñanza y el mercado laboral.</w:t>
      </w:r>
    </w:p>
    <w:p w:rsidR="00496662" w:rsidRDefault="00496662" w:rsidP="00303718">
      <w:pPr>
        <w:jc w:val="both"/>
        <w:rPr>
          <w:rFonts w:ascii="Verdana" w:hAnsi="Verdana" w:cs="Verdana"/>
          <w:sz w:val="20"/>
          <w:szCs w:val="20"/>
        </w:rPr>
      </w:pPr>
      <w:r>
        <w:rPr>
          <w:rFonts w:ascii="Verdana" w:hAnsi="Verdana" w:cs="Verdana"/>
          <w:sz w:val="20"/>
          <w:szCs w:val="20"/>
        </w:rPr>
        <w:t xml:space="preserve">En todos los países de Europa existen diferentes </w:t>
      </w:r>
      <w:r w:rsidRPr="00D91627">
        <w:rPr>
          <w:rFonts w:ascii="Verdana" w:hAnsi="Verdana" w:cs="Verdana"/>
          <w:sz w:val="20"/>
          <w:szCs w:val="20"/>
        </w:rPr>
        <w:t xml:space="preserve"> mecanismos de transición al mercado laboral </w:t>
      </w:r>
      <w:r>
        <w:rPr>
          <w:rFonts w:ascii="Verdana" w:hAnsi="Verdana" w:cs="Verdana"/>
          <w:sz w:val="20"/>
          <w:szCs w:val="20"/>
        </w:rPr>
        <w:t xml:space="preserve">que tratan de conseguir que </w:t>
      </w:r>
      <w:r w:rsidRPr="00D91627">
        <w:rPr>
          <w:rFonts w:ascii="Verdana" w:hAnsi="Verdana" w:cs="Verdana"/>
          <w:sz w:val="20"/>
          <w:szCs w:val="20"/>
        </w:rPr>
        <w:t xml:space="preserve"> jóvenes que no han alcanzado los objetivos mínimos de la ESO </w:t>
      </w:r>
      <w:r>
        <w:rPr>
          <w:rFonts w:ascii="Verdana" w:hAnsi="Verdana" w:cs="Verdana"/>
          <w:sz w:val="20"/>
          <w:szCs w:val="20"/>
        </w:rPr>
        <w:t>adquieran las competencias y conocimientos necesarios para incorporarse al mercado laboral y mantener su motivación por seguir formándose a lo largo de la vida.</w:t>
      </w:r>
    </w:p>
    <w:p w:rsidR="00496662" w:rsidRPr="00D91627" w:rsidRDefault="00496662" w:rsidP="00FD309E">
      <w:pPr>
        <w:jc w:val="both"/>
        <w:rPr>
          <w:rFonts w:ascii="Verdana" w:hAnsi="Verdana" w:cs="Verdana"/>
          <w:sz w:val="20"/>
          <w:szCs w:val="20"/>
        </w:rPr>
      </w:pPr>
      <w:r w:rsidRPr="00D91627">
        <w:rPr>
          <w:rFonts w:ascii="Verdana" w:hAnsi="Verdana" w:cs="Verdana"/>
          <w:sz w:val="20"/>
          <w:szCs w:val="20"/>
        </w:rPr>
        <w:t xml:space="preserve">El problema se plantea porque estos mecanismos de transición al mercado laboral reproducen </w:t>
      </w:r>
      <w:r>
        <w:rPr>
          <w:rFonts w:ascii="Verdana" w:hAnsi="Verdana" w:cs="Verdana"/>
          <w:sz w:val="20"/>
          <w:szCs w:val="20"/>
        </w:rPr>
        <w:t xml:space="preserve">de alguna forma </w:t>
      </w:r>
      <w:r w:rsidRPr="00D91627">
        <w:rPr>
          <w:rFonts w:ascii="Verdana" w:hAnsi="Verdana" w:cs="Verdana"/>
          <w:sz w:val="20"/>
          <w:szCs w:val="20"/>
        </w:rPr>
        <w:t>el modelo de enseñanza-aprendizaje del sistema educativo en el que estos/as alumnos/as fracasaron previamente y no consiguen mejorar sustancialmente los resultados sino que provoca la inadaptación y rechazo de las personas más jóvenes.</w:t>
      </w:r>
    </w:p>
    <w:p w:rsidR="00496662" w:rsidRDefault="00496662" w:rsidP="00FD309E">
      <w:pPr>
        <w:jc w:val="both"/>
        <w:rPr>
          <w:rFonts w:ascii="Verdana" w:hAnsi="Verdana" w:cs="Verdana"/>
          <w:sz w:val="20"/>
          <w:szCs w:val="20"/>
        </w:rPr>
      </w:pPr>
      <w:r>
        <w:rPr>
          <w:rFonts w:ascii="Verdana" w:hAnsi="Verdana" w:cs="Verdana"/>
          <w:sz w:val="20"/>
          <w:szCs w:val="20"/>
        </w:rPr>
        <w:t>Ante esta realidad, la red de trabajo</w:t>
      </w:r>
      <w:r w:rsidRPr="00D91627">
        <w:rPr>
          <w:rFonts w:ascii="Verdana" w:hAnsi="Verdana" w:cs="Verdana"/>
          <w:sz w:val="20"/>
          <w:szCs w:val="20"/>
        </w:rPr>
        <w:t xml:space="preserve"> </w:t>
      </w:r>
      <w:r w:rsidRPr="00D91627">
        <w:rPr>
          <w:rFonts w:ascii="Verdana" w:hAnsi="Verdana" w:cs="Verdana"/>
          <w:b/>
          <w:bCs/>
          <w:sz w:val="20"/>
          <w:szCs w:val="20"/>
        </w:rPr>
        <w:t>JUVENTUD+i+e</w:t>
      </w:r>
      <w:r w:rsidRPr="00D91627">
        <w:rPr>
          <w:rFonts w:ascii="Verdana" w:hAnsi="Verdana" w:cs="Verdana"/>
          <w:sz w:val="20"/>
          <w:szCs w:val="20"/>
        </w:rPr>
        <w:t xml:space="preserve"> </w:t>
      </w:r>
      <w:r>
        <w:rPr>
          <w:rFonts w:ascii="Verdana" w:hAnsi="Verdana" w:cs="Verdana"/>
          <w:sz w:val="20"/>
          <w:szCs w:val="20"/>
        </w:rPr>
        <w:t>pretende el intercambio de conocimiento, experiencias y buenas prácticas entre los socios al objeto de  mejorar</w:t>
      </w:r>
      <w:r w:rsidRPr="00D91627">
        <w:rPr>
          <w:rFonts w:ascii="Verdana" w:hAnsi="Verdana" w:cs="Verdana"/>
          <w:sz w:val="20"/>
          <w:szCs w:val="20"/>
        </w:rPr>
        <w:t xml:space="preserve"> </w:t>
      </w:r>
      <w:r>
        <w:rPr>
          <w:rFonts w:ascii="Verdana" w:hAnsi="Verdana" w:cs="Verdana"/>
          <w:sz w:val="20"/>
          <w:szCs w:val="20"/>
        </w:rPr>
        <w:t>los resultados y el</w:t>
      </w:r>
      <w:r w:rsidRPr="00D91627">
        <w:rPr>
          <w:rFonts w:ascii="Verdana" w:hAnsi="Verdana" w:cs="Verdana"/>
          <w:sz w:val="20"/>
          <w:szCs w:val="20"/>
        </w:rPr>
        <w:t xml:space="preserve"> valor</w:t>
      </w:r>
      <w:r>
        <w:rPr>
          <w:rFonts w:ascii="Verdana" w:hAnsi="Verdana" w:cs="Verdana"/>
          <w:sz w:val="20"/>
          <w:szCs w:val="20"/>
        </w:rPr>
        <w:t xml:space="preserve"> añadido de</w:t>
      </w:r>
      <w:r w:rsidRPr="00D91627">
        <w:rPr>
          <w:rFonts w:ascii="Verdana" w:hAnsi="Verdana" w:cs="Verdana"/>
          <w:sz w:val="20"/>
          <w:szCs w:val="20"/>
        </w:rPr>
        <w:t xml:space="preserve"> estos mecanismos de transici</w:t>
      </w:r>
      <w:r>
        <w:rPr>
          <w:rFonts w:ascii="Verdana" w:hAnsi="Verdana" w:cs="Verdana"/>
          <w:sz w:val="20"/>
          <w:szCs w:val="20"/>
        </w:rPr>
        <w:t>ón al mercado laboral.</w:t>
      </w:r>
    </w:p>
    <w:p w:rsidR="00496662" w:rsidRDefault="00496662" w:rsidP="00FD309E">
      <w:pPr>
        <w:jc w:val="both"/>
        <w:rPr>
          <w:rFonts w:ascii="Verdana" w:hAnsi="Verdana" w:cs="Verdana"/>
          <w:sz w:val="20"/>
          <w:szCs w:val="20"/>
        </w:rPr>
      </w:pPr>
    </w:p>
    <w:p w:rsidR="00496662" w:rsidRDefault="00496662" w:rsidP="00FD309E">
      <w:pPr>
        <w:jc w:val="both"/>
        <w:rPr>
          <w:rFonts w:ascii="Verdana" w:hAnsi="Verdana" w:cs="Verdana"/>
          <w:sz w:val="20"/>
          <w:szCs w:val="20"/>
        </w:rPr>
      </w:pPr>
    </w:p>
    <w:p w:rsidR="00496662" w:rsidRDefault="00496662" w:rsidP="00FD309E">
      <w:pPr>
        <w:jc w:val="both"/>
        <w:rPr>
          <w:rFonts w:ascii="Verdana" w:hAnsi="Verdana" w:cs="Verdana"/>
          <w:sz w:val="20"/>
          <w:szCs w:val="20"/>
        </w:rPr>
      </w:pPr>
    </w:p>
    <w:p w:rsidR="00496662" w:rsidRDefault="00496662" w:rsidP="00FD309E">
      <w:pPr>
        <w:jc w:val="both"/>
        <w:rPr>
          <w:rFonts w:ascii="Verdana" w:hAnsi="Verdana" w:cs="Verdana"/>
          <w:sz w:val="20"/>
          <w:szCs w:val="20"/>
        </w:rPr>
      </w:pPr>
    </w:p>
    <w:p w:rsidR="00496662" w:rsidRDefault="00496662" w:rsidP="00FD309E">
      <w:pPr>
        <w:jc w:val="both"/>
        <w:rPr>
          <w:rFonts w:ascii="Verdana" w:hAnsi="Verdana" w:cs="Verdana"/>
          <w:sz w:val="20"/>
          <w:szCs w:val="20"/>
        </w:rPr>
      </w:pPr>
    </w:p>
    <w:p w:rsidR="00496662" w:rsidRPr="00D91627" w:rsidRDefault="00496662" w:rsidP="00FD309E">
      <w:pPr>
        <w:jc w:val="both"/>
        <w:rPr>
          <w:rFonts w:ascii="Verdana" w:hAnsi="Verdana" w:cs="Verdana"/>
          <w:sz w:val="20"/>
          <w:szCs w:val="20"/>
        </w:rPr>
      </w:pPr>
    </w:p>
    <w:p w:rsidR="00496662" w:rsidRPr="003D7E02" w:rsidRDefault="00496662" w:rsidP="00303718">
      <w:pPr>
        <w:jc w:val="both"/>
        <w:rPr>
          <w:rFonts w:ascii="Verdana" w:hAnsi="Verdana" w:cs="Verdana"/>
          <w:sz w:val="32"/>
          <w:szCs w:val="32"/>
        </w:rPr>
      </w:pPr>
      <w:r w:rsidRPr="003D7E02">
        <w:rPr>
          <w:rFonts w:ascii="Verdana" w:hAnsi="Verdana" w:cs="Verdana"/>
          <w:sz w:val="32"/>
          <w:szCs w:val="32"/>
        </w:rPr>
        <w:t>OBJETIVOS</w:t>
      </w:r>
    </w:p>
    <w:p w:rsidR="00496662" w:rsidRPr="00DD5862" w:rsidRDefault="00496662" w:rsidP="003D7E02">
      <w:pPr>
        <w:jc w:val="both"/>
        <w:rPr>
          <w:rFonts w:ascii="Verdana" w:hAnsi="Verdana" w:cs="Verdana"/>
          <w:b/>
          <w:bCs/>
          <w:i/>
          <w:iCs/>
          <w:sz w:val="20"/>
          <w:szCs w:val="20"/>
        </w:rPr>
      </w:pPr>
      <w:r w:rsidRPr="00DD5862">
        <w:rPr>
          <w:rFonts w:ascii="Verdana" w:hAnsi="Verdana" w:cs="Verdana"/>
          <w:b/>
          <w:bCs/>
          <w:i/>
          <w:iCs/>
          <w:sz w:val="20"/>
          <w:szCs w:val="20"/>
        </w:rPr>
        <w:t xml:space="preserve">Objetivo general: </w:t>
      </w:r>
    </w:p>
    <w:p w:rsidR="00496662" w:rsidRPr="00D91627" w:rsidRDefault="00496662" w:rsidP="003D7E02">
      <w:pPr>
        <w:jc w:val="both"/>
        <w:rPr>
          <w:rFonts w:ascii="Verdana" w:hAnsi="Verdana" w:cs="Verdana"/>
          <w:sz w:val="20"/>
          <w:szCs w:val="20"/>
        </w:rPr>
      </w:pPr>
      <w:r w:rsidRPr="00D91627">
        <w:rPr>
          <w:rFonts w:ascii="Verdana" w:hAnsi="Verdana" w:cs="Verdana"/>
          <w:sz w:val="20"/>
          <w:szCs w:val="20"/>
        </w:rPr>
        <w:t xml:space="preserve">Crear una red de cooperación transnacional e interregional </w:t>
      </w:r>
      <w:r>
        <w:rPr>
          <w:rFonts w:ascii="Verdana" w:hAnsi="Verdana" w:cs="Verdana"/>
          <w:sz w:val="20"/>
          <w:szCs w:val="20"/>
        </w:rPr>
        <w:t xml:space="preserve">que permita </w:t>
      </w:r>
      <w:r w:rsidRPr="00D91627">
        <w:rPr>
          <w:rFonts w:ascii="Verdana" w:hAnsi="Verdana" w:cs="Verdana"/>
          <w:sz w:val="20"/>
          <w:szCs w:val="20"/>
        </w:rPr>
        <w:t>identificar experiencias</w:t>
      </w:r>
      <w:r>
        <w:rPr>
          <w:rFonts w:ascii="Verdana" w:hAnsi="Verdana" w:cs="Verdana"/>
          <w:sz w:val="20"/>
          <w:szCs w:val="20"/>
        </w:rPr>
        <w:t xml:space="preserve"> y buenas prácticas relacionadas con</w:t>
      </w:r>
      <w:r w:rsidRPr="00D91627">
        <w:rPr>
          <w:rFonts w:ascii="Verdana" w:hAnsi="Verdana" w:cs="Verdana"/>
          <w:sz w:val="20"/>
          <w:szCs w:val="20"/>
        </w:rPr>
        <w:t xml:space="preserve"> el diseño de nuevas metodologías e instrumentos de mejora de los mecanismos de transición al mercado laboral, promoviendo una mayor cualificación e integración laboral de jóvenes que no han alcanzado los objetivos mínimos de la Educación Secundaria Obligatoria.</w:t>
      </w:r>
    </w:p>
    <w:p w:rsidR="00496662" w:rsidRPr="00D91627" w:rsidRDefault="00496662" w:rsidP="003D7E02">
      <w:pPr>
        <w:jc w:val="both"/>
        <w:rPr>
          <w:rFonts w:ascii="Verdana" w:hAnsi="Verdana" w:cs="Verdana"/>
          <w:b/>
          <w:bCs/>
          <w:sz w:val="20"/>
          <w:szCs w:val="20"/>
        </w:rPr>
      </w:pPr>
    </w:p>
    <w:p w:rsidR="00496662" w:rsidRPr="00DD5862" w:rsidRDefault="00496662" w:rsidP="003D7E02">
      <w:pPr>
        <w:jc w:val="both"/>
        <w:rPr>
          <w:rFonts w:ascii="Verdana" w:hAnsi="Verdana" w:cs="Verdana"/>
          <w:b/>
          <w:bCs/>
          <w:i/>
          <w:iCs/>
          <w:sz w:val="20"/>
          <w:szCs w:val="20"/>
        </w:rPr>
      </w:pPr>
      <w:r w:rsidRPr="00DD5862">
        <w:rPr>
          <w:rFonts w:ascii="Verdana" w:hAnsi="Verdana" w:cs="Verdana"/>
          <w:b/>
          <w:bCs/>
          <w:i/>
          <w:iCs/>
          <w:sz w:val="20"/>
          <w:szCs w:val="20"/>
        </w:rPr>
        <w:t>Objetivos específicos:</w:t>
      </w:r>
    </w:p>
    <w:p w:rsidR="00496662" w:rsidRPr="00D91627" w:rsidRDefault="00496662" w:rsidP="003D7E02">
      <w:pPr>
        <w:jc w:val="both"/>
        <w:rPr>
          <w:rFonts w:ascii="Verdana" w:hAnsi="Verdana" w:cs="Verdana"/>
          <w:sz w:val="20"/>
          <w:szCs w:val="20"/>
        </w:rPr>
      </w:pPr>
      <w:r w:rsidRPr="00D91627">
        <w:rPr>
          <w:rFonts w:ascii="Verdana" w:hAnsi="Verdana" w:cs="Verdana"/>
          <w:sz w:val="20"/>
          <w:szCs w:val="20"/>
        </w:rPr>
        <w:t>1. Mejorar las competencias de jóvenes que se incorporan al mercado laboral adaptándolas a las demandas del mercado y en concreto a las de ocupaciones emergentes y generadoras de empleo.</w:t>
      </w:r>
    </w:p>
    <w:p w:rsidR="00496662" w:rsidRPr="00D91627" w:rsidRDefault="00496662" w:rsidP="003D7E02">
      <w:pPr>
        <w:jc w:val="both"/>
        <w:rPr>
          <w:rFonts w:ascii="Verdana" w:hAnsi="Verdana" w:cs="Verdana"/>
          <w:sz w:val="20"/>
          <w:szCs w:val="20"/>
        </w:rPr>
      </w:pPr>
      <w:r w:rsidRPr="00D91627">
        <w:rPr>
          <w:rFonts w:ascii="Verdana" w:hAnsi="Verdana" w:cs="Verdana"/>
          <w:sz w:val="20"/>
          <w:szCs w:val="20"/>
        </w:rPr>
        <w:t>2. Mejorar y actualizar los conocimientos</w:t>
      </w:r>
      <w:r w:rsidRPr="00D91627">
        <w:rPr>
          <w:rFonts w:ascii="Verdana" w:hAnsi="Verdana" w:cs="Verdana"/>
          <w:color w:val="339966"/>
          <w:sz w:val="20"/>
          <w:szCs w:val="20"/>
        </w:rPr>
        <w:t xml:space="preserve"> </w:t>
      </w:r>
      <w:r w:rsidRPr="00D91627">
        <w:rPr>
          <w:rFonts w:ascii="Verdana" w:hAnsi="Verdana" w:cs="Verdana"/>
          <w:sz w:val="20"/>
          <w:szCs w:val="20"/>
        </w:rPr>
        <w:t>y</w:t>
      </w:r>
      <w:r w:rsidRPr="00D91627">
        <w:rPr>
          <w:rFonts w:ascii="Verdana" w:hAnsi="Verdana" w:cs="Verdana"/>
          <w:color w:val="339966"/>
          <w:sz w:val="20"/>
          <w:szCs w:val="20"/>
        </w:rPr>
        <w:t xml:space="preserve"> </w:t>
      </w:r>
      <w:r w:rsidRPr="00D91627">
        <w:rPr>
          <w:rFonts w:ascii="Verdana" w:hAnsi="Verdana" w:cs="Verdana"/>
          <w:sz w:val="20"/>
          <w:szCs w:val="20"/>
        </w:rPr>
        <w:t xml:space="preserve">las competencias de los/as profesionales que trabajan en los programas de </w:t>
      </w:r>
      <w:r>
        <w:rPr>
          <w:rFonts w:ascii="Verdana" w:hAnsi="Verdana" w:cs="Verdana"/>
          <w:sz w:val="20"/>
          <w:szCs w:val="20"/>
        </w:rPr>
        <w:t>Empleo/Formación</w:t>
      </w:r>
      <w:r w:rsidRPr="00D91627">
        <w:rPr>
          <w:rFonts w:ascii="Verdana" w:hAnsi="Verdana" w:cs="Verdana"/>
          <w:sz w:val="20"/>
          <w:szCs w:val="20"/>
        </w:rPr>
        <w:t>, Formación Ocupacional y Formación inicial.</w:t>
      </w:r>
    </w:p>
    <w:p w:rsidR="00496662" w:rsidRPr="00D91627" w:rsidRDefault="00496662" w:rsidP="003D7E02">
      <w:pPr>
        <w:jc w:val="both"/>
        <w:rPr>
          <w:rFonts w:ascii="Verdana" w:hAnsi="Verdana" w:cs="Verdana"/>
          <w:sz w:val="20"/>
          <w:szCs w:val="20"/>
        </w:rPr>
      </w:pPr>
      <w:r w:rsidRPr="00D91627">
        <w:rPr>
          <w:rFonts w:ascii="Verdana" w:hAnsi="Verdana" w:cs="Verdana"/>
          <w:sz w:val="20"/>
          <w:szCs w:val="20"/>
        </w:rPr>
        <w:t>3. Optimizar</w:t>
      </w:r>
      <w:r w:rsidRPr="00D91627">
        <w:rPr>
          <w:rFonts w:ascii="Verdana" w:hAnsi="Verdana" w:cs="Verdana"/>
          <w:color w:val="339966"/>
          <w:sz w:val="20"/>
          <w:szCs w:val="20"/>
        </w:rPr>
        <w:t xml:space="preserve"> </w:t>
      </w:r>
      <w:r w:rsidRPr="00D91627">
        <w:rPr>
          <w:rFonts w:ascii="Verdana" w:hAnsi="Verdana" w:cs="Verdana"/>
          <w:sz w:val="20"/>
          <w:szCs w:val="20"/>
        </w:rPr>
        <w:t xml:space="preserve">la conexión entre el mercado laboral y los programas de </w:t>
      </w:r>
      <w:r>
        <w:rPr>
          <w:rFonts w:ascii="Verdana" w:hAnsi="Verdana" w:cs="Verdana"/>
          <w:sz w:val="20"/>
          <w:szCs w:val="20"/>
        </w:rPr>
        <w:t>Empleo/</w:t>
      </w:r>
      <w:r w:rsidRPr="00D91627">
        <w:rPr>
          <w:rFonts w:ascii="Verdana" w:hAnsi="Verdana" w:cs="Verdana"/>
          <w:sz w:val="20"/>
          <w:szCs w:val="20"/>
        </w:rPr>
        <w:t xml:space="preserve">Formación, Formación </w:t>
      </w:r>
      <w:r>
        <w:rPr>
          <w:rFonts w:ascii="Verdana" w:hAnsi="Verdana" w:cs="Verdana"/>
          <w:sz w:val="20"/>
          <w:szCs w:val="20"/>
        </w:rPr>
        <w:t>Ocupacional</w:t>
      </w:r>
      <w:r w:rsidRPr="00D91627">
        <w:rPr>
          <w:rFonts w:ascii="Verdana" w:hAnsi="Verdana" w:cs="Verdana"/>
          <w:sz w:val="20"/>
          <w:szCs w:val="20"/>
        </w:rPr>
        <w:t xml:space="preserve"> y Formación Inicial.</w:t>
      </w:r>
    </w:p>
    <w:p w:rsidR="00496662" w:rsidRPr="00D91627" w:rsidRDefault="00496662" w:rsidP="003D7E02">
      <w:pPr>
        <w:jc w:val="both"/>
        <w:rPr>
          <w:rFonts w:ascii="Verdana" w:hAnsi="Verdana" w:cs="Verdana"/>
          <w:sz w:val="20"/>
          <w:szCs w:val="20"/>
        </w:rPr>
      </w:pPr>
      <w:r w:rsidRPr="00D91627">
        <w:rPr>
          <w:rFonts w:ascii="Verdana" w:hAnsi="Verdana" w:cs="Verdana"/>
          <w:sz w:val="20"/>
          <w:szCs w:val="20"/>
        </w:rPr>
        <w:t>4. Transferir y difundir el aprendizaje y el conocimiento de las buenas prácticas detectadas a través de la red de cooperación.</w:t>
      </w:r>
    </w:p>
    <w:p w:rsidR="00496662" w:rsidRDefault="00496662" w:rsidP="003D7E02">
      <w:pPr>
        <w:jc w:val="both"/>
        <w:rPr>
          <w:rFonts w:ascii="Verdana" w:hAnsi="Verdana" w:cs="Verdana"/>
          <w:sz w:val="20"/>
          <w:szCs w:val="20"/>
        </w:rPr>
      </w:pPr>
      <w:r w:rsidRPr="00D91627">
        <w:rPr>
          <w:rFonts w:ascii="Verdana" w:hAnsi="Verdana" w:cs="Verdana"/>
          <w:sz w:val="20"/>
          <w:szCs w:val="20"/>
        </w:rPr>
        <w:t>5. Fomentar los principios de Igualdad de Oportunidades y sostenibilidad medioambiental.</w:t>
      </w:r>
    </w:p>
    <w:p w:rsidR="00496662" w:rsidRDefault="00496662">
      <w:pPr>
        <w:rPr>
          <w:sz w:val="32"/>
          <w:szCs w:val="32"/>
        </w:rPr>
      </w:pPr>
      <w:r>
        <w:rPr>
          <w:sz w:val="32"/>
          <w:szCs w:val="32"/>
        </w:rPr>
        <w:br w:type="page"/>
      </w:r>
    </w:p>
    <w:p w:rsidR="00496662" w:rsidRDefault="00496662" w:rsidP="00695533">
      <w:pPr>
        <w:rPr>
          <w:sz w:val="32"/>
          <w:szCs w:val="32"/>
        </w:rPr>
      </w:pPr>
    </w:p>
    <w:p w:rsidR="00496662" w:rsidRPr="00695533" w:rsidRDefault="00496662" w:rsidP="00695533">
      <w:pPr>
        <w:rPr>
          <w:sz w:val="32"/>
          <w:szCs w:val="32"/>
        </w:rPr>
      </w:pPr>
      <w:r w:rsidRPr="00695533">
        <w:rPr>
          <w:sz w:val="32"/>
          <w:szCs w:val="32"/>
        </w:rPr>
        <w:t>INFORMACION GENERAL DE CADA SOCIO</w:t>
      </w:r>
    </w:p>
    <w:p w:rsidR="00496662" w:rsidRPr="00A17C78" w:rsidRDefault="00496662" w:rsidP="00695533">
      <w:pPr>
        <w:numPr>
          <w:ilvl w:val="0"/>
          <w:numId w:val="2"/>
        </w:numPr>
        <w:tabs>
          <w:tab w:val="clear" w:pos="720"/>
          <w:tab w:val="num" w:pos="284"/>
        </w:tabs>
        <w:spacing w:after="0" w:line="240" w:lineRule="auto"/>
        <w:ind w:hanging="720"/>
        <w:rPr>
          <w:rStyle w:val="IntenseReference"/>
        </w:rPr>
      </w:pPr>
      <w:r w:rsidRPr="00A17C78">
        <w:rPr>
          <w:rStyle w:val="IntenseReference"/>
        </w:rPr>
        <w:t>IFEF</w:t>
      </w:r>
      <w:r>
        <w:rPr>
          <w:rStyle w:val="IntenseReference"/>
        </w:rPr>
        <w:t xml:space="preserve"> (Cadiz)</w:t>
      </w:r>
    </w:p>
    <w:p w:rsidR="00496662" w:rsidRDefault="00496662" w:rsidP="00695533">
      <w:pPr>
        <w:jc w:val="both"/>
        <w:rPr>
          <w:rFonts w:ascii="Verdana" w:hAnsi="Verdana" w:cs="Verdana"/>
          <w:sz w:val="20"/>
          <w:szCs w:val="20"/>
        </w:rPr>
      </w:pPr>
    </w:p>
    <w:p w:rsidR="00496662" w:rsidRDefault="00496662" w:rsidP="00695533">
      <w:pPr>
        <w:jc w:val="both"/>
        <w:rPr>
          <w:rFonts w:ascii="Verdana" w:hAnsi="Verdana" w:cs="Verdana"/>
          <w:sz w:val="20"/>
          <w:szCs w:val="20"/>
        </w:rPr>
      </w:pPr>
      <w:r w:rsidRPr="00D91627">
        <w:rPr>
          <w:rFonts w:ascii="Verdana" w:hAnsi="Verdana" w:cs="Verdana"/>
          <w:sz w:val="20"/>
          <w:szCs w:val="20"/>
        </w:rPr>
        <w:t xml:space="preserve">El Instituto de Fomento, Empleo y Formación del Ayuntamiento de Cádiz (IFEF), se constituyó en Marzo de 2001, con la finalidad de aplicar una estrategia local que agilice y modernice las políticas de empleo y formación y el fomento del espíritu empresarial en la provincia de Cádiz. </w:t>
      </w:r>
    </w:p>
    <w:p w:rsidR="00496662" w:rsidRDefault="00496662" w:rsidP="00695533">
      <w:pPr>
        <w:jc w:val="both"/>
        <w:rPr>
          <w:rFonts w:ascii="Verdana" w:hAnsi="Verdana" w:cs="Verdana"/>
          <w:sz w:val="20"/>
          <w:szCs w:val="20"/>
        </w:rPr>
      </w:pPr>
      <w:r w:rsidRPr="00D91627">
        <w:rPr>
          <w:rFonts w:ascii="Verdana" w:hAnsi="Verdana" w:cs="Verdana"/>
          <w:sz w:val="20"/>
          <w:szCs w:val="20"/>
        </w:rPr>
        <w:t xml:space="preserve">A través de diferentes </w:t>
      </w:r>
      <w:r>
        <w:rPr>
          <w:rFonts w:ascii="Verdana" w:hAnsi="Verdana" w:cs="Verdana"/>
          <w:sz w:val="20"/>
          <w:szCs w:val="20"/>
        </w:rPr>
        <w:t>programas y acciones de formación y orientación laboral y de la promoción de Escuelas Taller y Talleres de Empleo</w:t>
      </w:r>
      <w:r w:rsidRPr="00D91627">
        <w:rPr>
          <w:rFonts w:ascii="Verdana" w:hAnsi="Verdana" w:cs="Verdana"/>
          <w:sz w:val="20"/>
          <w:szCs w:val="20"/>
        </w:rPr>
        <w:t xml:space="preserve">, el IFEF intenta reducir las tasas de desempleo entre los colectivos </w:t>
      </w:r>
      <w:r>
        <w:rPr>
          <w:rFonts w:ascii="Verdana" w:hAnsi="Verdana" w:cs="Verdana"/>
          <w:sz w:val="20"/>
          <w:szCs w:val="20"/>
        </w:rPr>
        <w:t xml:space="preserve"> con más dificultades de acceso al empleo, entre ellos las personas más jóvenes sin cualificación.</w:t>
      </w:r>
    </w:p>
    <w:p w:rsidR="00496662" w:rsidRDefault="00496662" w:rsidP="00695533">
      <w:pPr>
        <w:jc w:val="both"/>
        <w:rPr>
          <w:rFonts w:ascii="Verdana" w:hAnsi="Verdana" w:cs="Verdana"/>
          <w:sz w:val="20"/>
          <w:szCs w:val="20"/>
        </w:rPr>
      </w:pPr>
      <w:r w:rsidRPr="00D91627">
        <w:rPr>
          <w:rFonts w:ascii="Verdana" w:hAnsi="Verdana" w:cs="Verdana"/>
          <w:sz w:val="20"/>
          <w:szCs w:val="20"/>
        </w:rPr>
        <w:t xml:space="preserve">Desde el Instituto se realizan estudios e informes, se elaboran proyectos y se gestionan subvenciones y apoyo económico a las empresas, con el objetivo de contribuir al desarrollo y fomento de los diversos sectores económicos gaditanos. </w:t>
      </w:r>
    </w:p>
    <w:p w:rsidR="00496662" w:rsidRDefault="00496662" w:rsidP="00695533">
      <w:pPr>
        <w:jc w:val="both"/>
        <w:rPr>
          <w:rFonts w:ascii="Verdana" w:hAnsi="Verdana" w:cs="Verdana"/>
          <w:sz w:val="20"/>
          <w:szCs w:val="20"/>
        </w:rPr>
      </w:pPr>
      <w:hyperlink r:id="rId7" w:history="1">
        <w:r w:rsidRPr="00D91627">
          <w:rPr>
            <w:rStyle w:val="Hyperlink"/>
            <w:rFonts w:ascii="Verdana" w:hAnsi="Verdana" w:cs="Verdana"/>
            <w:sz w:val="20"/>
            <w:szCs w:val="20"/>
          </w:rPr>
          <w:t>http://www.ifef.es</w:t>
        </w:r>
      </w:hyperlink>
    </w:p>
    <w:p w:rsidR="00496662" w:rsidRPr="00A17C78" w:rsidRDefault="00496662" w:rsidP="00695533">
      <w:pPr>
        <w:numPr>
          <w:ilvl w:val="0"/>
          <w:numId w:val="2"/>
        </w:numPr>
        <w:tabs>
          <w:tab w:val="clear" w:pos="720"/>
          <w:tab w:val="num" w:pos="284"/>
        </w:tabs>
        <w:spacing w:after="0" w:line="240" w:lineRule="auto"/>
        <w:ind w:left="284" w:hanging="284"/>
        <w:rPr>
          <w:rStyle w:val="IntenseReference"/>
        </w:rPr>
      </w:pPr>
      <w:r w:rsidRPr="00A17C78">
        <w:rPr>
          <w:rStyle w:val="IntenseReference"/>
        </w:rPr>
        <w:t>ASOCIACIÓN GRUPO DE</w:t>
      </w:r>
      <w:r>
        <w:rPr>
          <w:rStyle w:val="IntenseReference"/>
        </w:rPr>
        <w:t xml:space="preserve"> DESARROLLO RURAL SIERRA DE LAS NIEVES Y SU ENTORNO (malaga)</w:t>
      </w:r>
    </w:p>
    <w:p w:rsidR="00496662" w:rsidRDefault="00496662" w:rsidP="00695533">
      <w:pPr>
        <w:jc w:val="both"/>
        <w:rPr>
          <w:rFonts w:ascii="Verdana" w:hAnsi="Verdana" w:cs="Verdana"/>
          <w:sz w:val="20"/>
          <w:szCs w:val="20"/>
        </w:rPr>
      </w:pPr>
    </w:p>
    <w:p w:rsidR="00496662" w:rsidRPr="00D91627" w:rsidRDefault="00496662" w:rsidP="00695533">
      <w:pPr>
        <w:jc w:val="both"/>
        <w:rPr>
          <w:rFonts w:ascii="Verdana" w:hAnsi="Verdana" w:cs="Verdana"/>
          <w:sz w:val="20"/>
          <w:szCs w:val="20"/>
        </w:rPr>
      </w:pPr>
      <w:r w:rsidRPr="00D91627">
        <w:rPr>
          <w:rFonts w:ascii="Verdana" w:hAnsi="Verdana" w:cs="Verdana"/>
          <w:sz w:val="20"/>
          <w:szCs w:val="20"/>
        </w:rPr>
        <w:t>El Grupo de Desarrollo Rur</w:t>
      </w:r>
      <w:r>
        <w:rPr>
          <w:rFonts w:ascii="Verdana" w:hAnsi="Verdana" w:cs="Verdana"/>
          <w:sz w:val="20"/>
          <w:szCs w:val="20"/>
        </w:rPr>
        <w:t>al Sierra de las Nieves es una a</w:t>
      </w:r>
      <w:r w:rsidRPr="00D91627">
        <w:rPr>
          <w:rFonts w:ascii="Verdana" w:hAnsi="Verdana" w:cs="Verdana"/>
          <w:sz w:val="20"/>
          <w:szCs w:val="20"/>
        </w:rPr>
        <w:t>sociación sin ánimo de lucro, impulsada por los Ayuntamientos de diferentes comarcas de la provincia de Málaga y donde están representados particulares, tejido empresarial, sindicatos, asociaciones de mujeres, asociaciones de jóvenes, entidades financieras, los propios ayuntamientos y la Diputación Provincial.</w:t>
      </w:r>
    </w:p>
    <w:p w:rsidR="00496662" w:rsidRPr="00D91627" w:rsidRDefault="00496662" w:rsidP="00695533">
      <w:pPr>
        <w:jc w:val="both"/>
        <w:rPr>
          <w:rFonts w:ascii="Verdana" w:hAnsi="Verdana" w:cs="Verdana"/>
          <w:sz w:val="20"/>
          <w:szCs w:val="20"/>
        </w:rPr>
      </w:pPr>
      <w:r w:rsidRPr="00D91627">
        <w:rPr>
          <w:rFonts w:ascii="Verdana" w:hAnsi="Verdana" w:cs="Verdana"/>
          <w:sz w:val="20"/>
          <w:szCs w:val="20"/>
        </w:rPr>
        <w:t>Sus objetivos son promover y potenciar las acciones formativas y divulgativas, la adquisición o renovación de medios informáticos y audiovisuales, el  intercambio de conocimientos y experiencias, ayudas a jóvenes para mejorar su formación profesional, participar en Redes, asociaciones y Federaciones que contribuyan al desarrollo de su ámbito territorial, promover y potenciar la Formación Profesional, incentivar las ayudas a la contratación.</w:t>
      </w:r>
    </w:p>
    <w:p w:rsidR="00496662" w:rsidRDefault="00496662" w:rsidP="00695533">
      <w:pPr>
        <w:jc w:val="both"/>
        <w:rPr>
          <w:rFonts w:ascii="Verdana" w:hAnsi="Verdana" w:cs="Verdana"/>
          <w:sz w:val="20"/>
          <w:szCs w:val="20"/>
        </w:rPr>
      </w:pPr>
      <w:r w:rsidRPr="00D91627">
        <w:rPr>
          <w:rFonts w:ascii="Verdana" w:hAnsi="Verdana" w:cs="Verdana"/>
          <w:sz w:val="20"/>
          <w:szCs w:val="20"/>
        </w:rPr>
        <w:t>Esta Asociación posee amplia experi</w:t>
      </w:r>
      <w:r>
        <w:rPr>
          <w:rFonts w:ascii="Verdana" w:hAnsi="Verdana" w:cs="Verdana"/>
          <w:sz w:val="20"/>
          <w:szCs w:val="20"/>
        </w:rPr>
        <w:t>e</w:t>
      </w:r>
      <w:r w:rsidRPr="00D91627">
        <w:rPr>
          <w:rFonts w:ascii="Verdana" w:hAnsi="Verdana" w:cs="Verdana"/>
          <w:sz w:val="20"/>
          <w:szCs w:val="20"/>
        </w:rPr>
        <w:t xml:space="preserve">ncia en el desarrollo de iniciativas comunitarias con el objetivo de contribuir al desarrollo de áreas desfavorecidas a través del apoyo a proyectos de carácter productivo (empresariales) y no productivos (ámbito de la cultura, el medio ambiente, la formación, etc.). </w:t>
      </w:r>
      <w:r>
        <w:rPr>
          <w:rFonts w:ascii="Verdana" w:hAnsi="Verdana" w:cs="Verdana"/>
          <w:sz w:val="20"/>
          <w:szCs w:val="20"/>
        </w:rPr>
        <w:t>Gestiona Escuelas Taller y Talleres de Empleo. Actualmente cuentan con una Escuela Taller de Energías renovables.</w:t>
      </w:r>
    </w:p>
    <w:p w:rsidR="00496662" w:rsidRDefault="00496662" w:rsidP="00695533">
      <w:pPr>
        <w:jc w:val="both"/>
        <w:rPr>
          <w:rFonts w:ascii="Verdana" w:hAnsi="Verdana" w:cs="Verdana"/>
          <w:sz w:val="20"/>
          <w:szCs w:val="20"/>
        </w:rPr>
      </w:pPr>
      <w:hyperlink r:id="rId8" w:history="1">
        <w:r w:rsidRPr="00D91627">
          <w:rPr>
            <w:rStyle w:val="Hyperlink"/>
            <w:rFonts w:ascii="Verdana" w:hAnsi="Verdana" w:cs="Verdana"/>
            <w:sz w:val="20"/>
            <w:szCs w:val="20"/>
          </w:rPr>
          <w:t>http://www.sierranieves.com/</w:t>
        </w:r>
      </w:hyperlink>
    </w:p>
    <w:p w:rsidR="00496662" w:rsidRDefault="00496662" w:rsidP="00695533">
      <w:pPr>
        <w:jc w:val="both"/>
        <w:rPr>
          <w:rFonts w:ascii="Verdana" w:hAnsi="Verdana" w:cs="Verdana"/>
          <w:sz w:val="20"/>
          <w:szCs w:val="20"/>
        </w:rPr>
      </w:pPr>
    </w:p>
    <w:p w:rsidR="00496662" w:rsidRDefault="00496662" w:rsidP="00695533">
      <w:pPr>
        <w:jc w:val="both"/>
        <w:rPr>
          <w:rFonts w:ascii="Verdana" w:hAnsi="Verdana" w:cs="Verdana"/>
          <w:sz w:val="20"/>
          <w:szCs w:val="20"/>
        </w:rPr>
      </w:pPr>
    </w:p>
    <w:p w:rsidR="00496662" w:rsidRPr="00A17C78" w:rsidRDefault="00496662" w:rsidP="00695533">
      <w:pPr>
        <w:numPr>
          <w:ilvl w:val="0"/>
          <w:numId w:val="2"/>
        </w:numPr>
        <w:tabs>
          <w:tab w:val="clear" w:pos="720"/>
          <w:tab w:val="num" w:pos="284"/>
        </w:tabs>
        <w:spacing w:after="0" w:line="240" w:lineRule="auto"/>
        <w:ind w:left="284" w:hanging="284"/>
        <w:rPr>
          <w:rStyle w:val="IntenseReference"/>
        </w:rPr>
      </w:pPr>
      <w:r w:rsidRPr="00A17C78">
        <w:rPr>
          <w:rStyle w:val="IntenseReference"/>
        </w:rPr>
        <w:t>FUNDACIÓN FORJA XXI</w:t>
      </w:r>
      <w:r>
        <w:rPr>
          <w:rStyle w:val="IntenseReference"/>
        </w:rPr>
        <w:t xml:space="preserve"> (Andalucía)</w:t>
      </w:r>
    </w:p>
    <w:p w:rsidR="00496662" w:rsidRPr="00D91627" w:rsidRDefault="00496662" w:rsidP="00695533">
      <w:pPr>
        <w:jc w:val="both"/>
        <w:rPr>
          <w:rFonts w:ascii="Verdana" w:hAnsi="Verdana" w:cs="Verdana"/>
          <w:sz w:val="20"/>
          <w:szCs w:val="20"/>
        </w:rPr>
      </w:pPr>
    </w:p>
    <w:p w:rsidR="00496662" w:rsidRPr="00D91627" w:rsidRDefault="00496662" w:rsidP="00695533">
      <w:pPr>
        <w:jc w:val="both"/>
        <w:rPr>
          <w:rFonts w:ascii="Verdana" w:hAnsi="Verdana" w:cs="Verdana"/>
          <w:sz w:val="20"/>
          <w:szCs w:val="20"/>
        </w:rPr>
      </w:pPr>
      <w:r w:rsidRPr="00D91627">
        <w:rPr>
          <w:rFonts w:ascii="Verdana" w:hAnsi="Verdana" w:cs="Verdana"/>
          <w:sz w:val="20"/>
          <w:szCs w:val="20"/>
        </w:rPr>
        <w:t xml:space="preserve">Forja XXI es una fundación benéfica de carácter mixto y sin ánimo de lucro, que surge a partir de la Sociedad Estatal para la Exposición Universal de Sevilla de 1992, con el </w:t>
      </w:r>
      <w:r>
        <w:rPr>
          <w:rFonts w:ascii="Verdana" w:hAnsi="Verdana" w:cs="Verdana"/>
          <w:sz w:val="20"/>
          <w:szCs w:val="20"/>
        </w:rPr>
        <w:t>objetivo de dar continuidad a su</w:t>
      </w:r>
      <w:r w:rsidRPr="00D91627">
        <w:rPr>
          <w:rFonts w:ascii="Verdana" w:hAnsi="Verdana" w:cs="Verdana"/>
          <w:sz w:val="20"/>
          <w:szCs w:val="20"/>
        </w:rPr>
        <w:t xml:space="preserve"> labor formativa y de integración</w:t>
      </w:r>
      <w:r>
        <w:rPr>
          <w:rFonts w:ascii="Verdana" w:hAnsi="Verdana" w:cs="Verdana"/>
          <w:sz w:val="20"/>
          <w:szCs w:val="20"/>
        </w:rPr>
        <w:t xml:space="preserve"> en el </w:t>
      </w:r>
      <w:r w:rsidRPr="00D91627">
        <w:rPr>
          <w:rFonts w:ascii="Verdana" w:hAnsi="Verdana" w:cs="Verdana"/>
          <w:sz w:val="20"/>
          <w:szCs w:val="20"/>
        </w:rPr>
        <w:t>ámbito de Andalucía, Ceuta y Marruecos.</w:t>
      </w:r>
    </w:p>
    <w:p w:rsidR="00496662" w:rsidRDefault="00496662" w:rsidP="00695533">
      <w:pPr>
        <w:jc w:val="both"/>
        <w:rPr>
          <w:rFonts w:ascii="Verdana" w:hAnsi="Verdana" w:cs="Verdana"/>
          <w:sz w:val="20"/>
          <w:szCs w:val="20"/>
        </w:rPr>
      </w:pPr>
      <w:r w:rsidRPr="00D91627">
        <w:rPr>
          <w:rFonts w:ascii="Verdana" w:hAnsi="Verdana" w:cs="Verdana"/>
          <w:sz w:val="20"/>
          <w:szCs w:val="20"/>
        </w:rPr>
        <w:t>Forja XXI colabora con diferentes organismos y entidades públicas y privadas, nacional</w:t>
      </w:r>
      <w:r>
        <w:rPr>
          <w:rFonts w:ascii="Verdana" w:hAnsi="Verdana" w:cs="Verdana"/>
          <w:sz w:val="20"/>
          <w:szCs w:val="20"/>
        </w:rPr>
        <w:t>es</w:t>
      </w:r>
      <w:r w:rsidRPr="00D91627">
        <w:rPr>
          <w:rFonts w:ascii="Verdana" w:hAnsi="Verdana" w:cs="Verdana"/>
          <w:sz w:val="20"/>
          <w:szCs w:val="20"/>
        </w:rPr>
        <w:t xml:space="preserve"> </w:t>
      </w:r>
      <w:r>
        <w:rPr>
          <w:rFonts w:ascii="Verdana" w:hAnsi="Verdana" w:cs="Verdana"/>
          <w:sz w:val="20"/>
          <w:szCs w:val="20"/>
        </w:rPr>
        <w:t xml:space="preserve">e </w:t>
      </w:r>
      <w:r w:rsidRPr="00D91627">
        <w:rPr>
          <w:rFonts w:ascii="Verdana" w:hAnsi="Verdana" w:cs="Verdana"/>
          <w:sz w:val="20"/>
          <w:szCs w:val="20"/>
        </w:rPr>
        <w:t>internacional</w:t>
      </w:r>
      <w:r>
        <w:rPr>
          <w:rFonts w:ascii="Verdana" w:hAnsi="Verdana" w:cs="Verdana"/>
          <w:sz w:val="20"/>
          <w:szCs w:val="20"/>
        </w:rPr>
        <w:t>es</w:t>
      </w:r>
      <w:r w:rsidRPr="00D91627">
        <w:rPr>
          <w:rFonts w:ascii="Verdana" w:hAnsi="Verdana" w:cs="Verdana"/>
          <w:sz w:val="20"/>
          <w:szCs w:val="20"/>
        </w:rPr>
        <w:t xml:space="preserve"> a través de diferentes programas y actuaciones, busca la integración y la inserción de los/as jóvenes en el mercado laboral. Esto se materializa en diferentes acciones de formación, ca</w:t>
      </w:r>
      <w:r>
        <w:rPr>
          <w:rFonts w:ascii="Verdana" w:hAnsi="Verdana" w:cs="Verdana"/>
          <w:sz w:val="20"/>
          <w:szCs w:val="20"/>
        </w:rPr>
        <w:t xml:space="preserve">pacitación y orientación laboral, y en </w:t>
      </w:r>
      <w:r w:rsidRPr="00D91627">
        <w:rPr>
          <w:rFonts w:ascii="Verdana" w:hAnsi="Verdana" w:cs="Verdana"/>
          <w:sz w:val="20"/>
          <w:szCs w:val="20"/>
        </w:rPr>
        <w:t xml:space="preserve">la promoción y mantenimiento de Escuelas Taller, </w:t>
      </w:r>
      <w:r>
        <w:rPr>
          <w:rFonts w:ascii="Verdana" w:hAnsi="Verdana" w:cs="Verdana"/>
          <w:sz w:val="20"/>
          <w:szCs w:val="20"/>
        </w:rPr>
        <w:t>Talleres de Empleo y</w:t>
      </w:r>
      <w:r w:rsidRPr="00D91627">
        <w:rPr>
          <w:rFonts w:ascii="Verdana" w:hAnsi="Verdana" w:cs="Verdana"/>
          <w:sz w:val="20"/>
          <w:szCs w:val="20"/>
        </w:rPr>
        <w:t xml:space="preserve"> </w:t>
      </w:r>
      <w:r>
        <w:rPr>
          <w:rFonts w:ascii="Verdana" w:hAnsi="Verdana" w:cs="Verdana"/>
          <w:sz w:val="20"/>
          <w:szCs w:val="20"/>
        </w:rPr>
        <w:t xml:space="preserve">Escuelas de Formación. </w:t>
      </w:r>
      <w:r w:rsidRPr="00D91627">
        <w:rPr>
          <w:rFonts w:ascii="Verdana" w:hAnsi="Verdana" w:cs="Verdana"/>
          <w:sz w:val="20"/>
          <w:szCs w:val="20"/>
        </w:rPr>
        <w:t>También se busca con diferentes actividades, el fomento y desarrollo de las nuevas tecnologías.</w:t>
      </w:r>
      <w:r>
        <w:rPr>
          <w:rFonts w:ascii="Verdana" w:hAnsi="Verdana" w:cs="Verdana"/>
          <w:sz w:val="20"/>
          <w:szCs w:val="20"/>
        </w:rPr>
        <w:t xml:space="preserve"> </w:t>
      </w:r>
    </w:p>
    <w:p w:rsidR="00496662" w:rsidRPr="00D91627" w:rsidRDefault="00496662" w:rsidP="00695533">
      <w:pPr>
        <w:jc w:val="both"/>
        <w:rPr>
          <w:rFonts w:ascii="Verdana" w:hAnsi="Verdana" w:cs="Verdana"/>
          <w:sz w:val="20"/>
          <w:szCs w:val="20"/>
        </w:rPr>
      </w:pPr>
      <w:r>
        <w:rPr>
          <w:rFonts w:ascii="Verdana" w:hAnsi="Verdana" w:cs="Verdana"/>
          <w:sz w:val="20"/>
          <w:szCs w:val="20"/>
        </w:rPr>
        <w:t xml:space="preserve">Realiza a su vez </w:t>
      </w:r>
      <w:r w:rsidRPr="00D91627">
        <w:rPr>
          <w:rFonts w:ascii="Verdana" w:hAnsi="Verdana" w:cs="Verdana"/>
          <w:sz w:val="20"/>
          <w:szCs w:val="20"/>
        </w:rPr>
        <w:t>el asesoramiento a entes públicos y empresas de economía social con el fin de generar actividad y empleo tanto en Andalucía como en el resto del ámbito de actuación de la fundación.</w:t>
      </w:r>
    </w:p>
    <w:p w:rsidR="00496662" w:rsidRDefault="00496662" w:rsidP="00695533">
      <w:pPr>
        <w:jc w:val="both"/>
        <w:rPr>
          <w:rFonts w:ascii="Verdana" w:hAnsi="Verdana" w:cs="Verdana"/>
          <w:sz w:val="20"/>
          <w:szCs w:val="20"/>
        </w:rPr>
      </w:pPr>
      <w:r w:rsidRPr="00D91627">
        <w:rPr>
          <w:rFonts w:ascii="Verdana" w:hAnsi="Verdana" w:cs="Verdana"/>
          <w:sz w:val="20"/>
          <w:szCs w:val="20"/>
        </w:rPr>
        <w:t xml:space="preserve">Forja XXI </w:t>
      </w:r>
      <w:r>
        <w:rPr>
          <w:rFonts w:ascii="Verdana" w:hAnsi="Verdana" w:cs="Verdana"/>
          <w:sz w:val="20"/>
          <w:szCs w:val="20"/>
        </w:rPr>
        <w:t xml:space="preserve">trabaja además </w:t>
      </w:r>
      <w:r w:rsidRPr="00D91627">
        <w:rPr>
          <w:rFonts w:ascii="Verdana" w:hAnsi="Verdana" w:cs="Verdana"/>
          <w:sz w:val="20"/>
          <w:szCs w:val="20"/>
        </w:rPr>
        <w:t>en el apoyo a los colectivos más vulnerables</w:t>
      </w:r>
      <w:r>
        <w:rPr>
          <w:rFonts w:ascii="Verdana" w:hAnsi="Verdana" w:cs="Verdana"/>
          <w:sz w:val="20"/>
          <w:szCs w:val="20"/>
        </w:rPr>
        <w:t>, a través de  actividades cuyo objetivo es</w:t>
      </w:r>
      <w:r w:rsidRPr="00D91627">
        <w:rPr>
          <w:rFonts w:ascii="Verdana" w:hAnsi="Verdana" w:cs="Verdana"/>
          <w:sz w:val="20"/>
          <w:szCs w:val="20"/>
        </w:rPr>
        <w:t xml:space="preserve"> aumentar la calidad de vida de las personas con menos recursos y establece ayudas para jóvenes que se encuentran en una situación económica más precaria.</w:t>
      </w:r>
    </w:p>
    <w:p w:rsidR="00496662" w:rsidRDefault="00496662" w:rsidP="00695533">
      <w:pPr>
        <w:numPr>
          <w:ilvl w:val="0"/>
          <w:numId w:val="2"/>
        </w:numPr>
        <w:tabs>
          <w:tab w:val="clear" w:pos="720"/>
          <w:tab w:val="num" w:pos="284"/>
        </w:tabs>
        <w:spacing w:after="0" w:line="240" w:lineRule="auto"/>
        <w:ind w:left="284" w:hanging="284"/>
        <w:rPr>
          <w:rStyle w:val="IntenseReference"/>
        </w:rPr>
      </w:pPr>
      <w:r>
        <w:rPr>
          <w:rStyle w:val="IntenseReference"/>
        </w:rPr>
        <w:t xml:space="preserve">DIPUTACIÓN DE PONTEVEDRA </w:t>
      </w:r>
    </w:p>
    <w:p w:rsidR="00496662" w:rsidRPr="00F27398" w:rsidRDefault="00496662" w:rsidP="00695533">
      <w:pPr>
        <w:pStyle w:val="NormalWeb"/>
        <w:jc w:val="both"/>
        <w:rPr>
          <w:rFonts w:ascii="Verdana" w:hAnsi="Verdana" w:cs="Verdana"/>
          <w:sz w:val="20"/>
          <w:szCs w:val="20"/>
        </w:rPr>
      </w:pPr>
      <w:r w:rsidRPr="00F27398">
        <w:rPr>
          <w:rFonts w:ascii="Verdana" w:hAnsi="Verdana" w:cs="Verdana"/>
          <w:sz w:val="20"/>
          <w:szCs w:val="20"/>
        </w:rPr>
        <w:t xml:space="preserve">El área social de la Diputación de Pontevedra se responsabiliza de </w:t>
      </w:r>
      <w:r>
        <w:rPr>
          <w:rFonts w:ascii="Verdana" w:hAnsi="Verdana" w:cs="Verdana"/>
          <w:sz w:val="20"/>
          <w:szCs w:val="20"/>
        </w:rPr>
        <w:t>las demandas que presentan los A</w:t>
      </w:r>
      <w:r w:rsidRPr="00F27398">
        <w:rPr>
          <w:rFonts w:ascii="Verdana" w:hAnsi="Verdana" w:cs="Verdana"/>
          <w:sz w:val="20"/>
          <w:szCs w:val="20"/>
        </w:rPr>
        <w:t xml:space="preserve">yuntamientos de la Provincia, centrando su labor en los colectivos de mayor riesgo. Así, esta entidad lleva a cabo diversos programas de actuación </w:t>
      </w:r>
      <w:r>
        <w:rPr>
          <w:rFonts w:ascii="Verdana" w:hAnsi="Verdana" w:cs="Verdana"/>
          <w:sz w:val="20"/>
          <w:szCs w:val="20"/>
        </w:rPr>
        <w:t xml:space="preserve">dirigidos a personas con discapacidad, </w:t>
      </w:r>
      <w:r w:rsidRPr="00F27398">
        <w:rPr>
          <w:rFonts w:ascii="Verdana" w:hAnsi="Verdana" w:cs="Verdana"/>
          <w:sz w:val="20"/>
          <w:szCs w:val="20"/>
        </w:rPr>
        <w:t>drogodepend</w:t>
      </w:r>
      <w:r>
        <w:rPr>
          <w:rFonts w:ascii="Verdana" w:hAnsi="Verdana" w:cs="Verdana"/>
          <w:sz w:val="20"/>
          <w:szCs w:val="20"/>
        </w:rPr>
        <w:t>ientes</w:t>
      </w:r>
      <w:r w:rsidRPr="00F27398">
        <w:rPr>
          <w:rFonts w:ascii="Verdana" w:hAnsi="Verdana" w:cs="Verdana"/>
          <w:sz w:val="20"/>
          <w:szCs w:val="20"/>
        </w:rPr>
        <w:t xml:space="preserve">, minorías étnicas, mayores, </w:t>
      </w:r>
      <w:r>
        <w:rPr>
          <w:rFonts w:ascii="Verdana" w:hAnsi="Verdana" w:cs="Verdana"/>
          <w:sz w:val="20"/>
          <w:szCs w:val="20"/>
        </w:rPr>
        <w:t>jóvenes en situación de desempleo</w:t>
      </w:r>
      <w:r w:rsidRPr="00F27398">
        <w:rPr>
          <w:rFonts w:ascii="Verdana" w:hAnsi="Verdana" w:cs="Verdana"/>
          <w:sz w:val="20"/>
          <w:szCs w:val="20"/>
        </w:rPr>
        <w:t>, etc.</w:t>
      </w:r>
    </w:p>
    <w:p w:rsidR="00496662" w:rsidRDefault="00496662" w:rsidP="00695533">
      <w:pPr>
        <w:pStyle w:val="NormalWeb"/>
        <w:jc w:val="both"/>
        <w:rPr>
          <w:rFonts w:ascii="Verdana" w:hAnsi="Verdana" w:cs="Verdana"/>
          <w:sz w:val="20"/>
          <w:szCs w:val="20"/>
        </w:rPr>
      </w:pPr>
      <w:r>
        <w:rPr>
          <w:rFonts w:ascii="Verdana" w:hAnsi="Verdana" w:cs="Verdana"/>
          <w:sz w:val="20"/>
          <w:szCs w:val="20"/>
        </w:rPr>
        <w:t>L</w:t>
      </w:r>
      <w:r w:rsidRPr="00F27398">
        <w:rPr>
          <w:rFonts w:ascii="Verdana" w:hAnsi="Verdana" w:cs="Verdana"/>
          <w:sz w:val="20"/>
          <w:szCs w:val="20"/>
        </w:rPr>
        <w:t xml:space="preserve">a Diputación de Pontevedra posee el Centro Príncipe Felipe, en cuyas instalaciones se educa, se acoge y se forma a jóvenes </w:t>
      </w:r>
      <w:r>
        <w:rPr>
          <w:rFonts w:ascii="Verdana" w:hAnsi="Verdana" w:cs="Verdana"/>
          <w:sz w:val="20"/>
          <w:szCs w:val="20"/>
        </w:rPr>
        <w:t>que por sus circunstancias sociales, personales y familiares ingresan en el mismo.</w:t>
      </w:r>
      <w:r w:rsidRPr="00F27398">
        <w:rPr>
          <w:rFonts w:ascii="Verdana" w:hAnsi="Verdana" w:cs="Verdana"/>
          <w:sz w:val="20"/>
          <w:szCs w:val="20"/>
        </w:rPr>
        <w:t xml:space="preserve"> </w:t>
      </w:r>
    </w:p>
    <w:p w:rsidR="00496662" w:rsidRPr="0031509D" w:rsidRDefault="00496662" w:rsidP="00695533">
      <w:pPr>
        <w:pStyle w:val="NormalWeb"/>
        <w:jc w:val="both"/>
        <w:rPr>
          <w:rFonts w:ascii="Verdana" w:hAnsi="Verdana" w:cs="Verdana"/>
          <w:sz w:val="20"/>
          <w:szCs w:val="20"/>
          <w:lang w:val="en-GB"/>
        </w:rPr>
      </w:pPr>
      <w:hyperlink r:id="rId9" w:history="1">
        <w:r w:rsidRPr="0031509D">
          <w:rPr>
            <w:rStyle w:val="Hyperlink"/>
            <w:rFonts w:ascii="Verdana" w:hAnsi="Verdana" w:cs="Verdana"/>
            <w:sz w:val="20"/>
            <w:szCs w:val="20"/>
            <w:lang w:val="en-GB"/>
          </w:rPr>
          <w:t>http://www.depontevedra.es/</w:t>
        </w:r>
      </w:hyperlink>
    </w:p>
    <w:p w:rsidR="00496662" w:rsidRPr="0031509D" w:rsidRDefault="00496662">
      <w:pPr>
        <w:rPr>
          <w:lang w:val="en-GB"/>
        </w:rPr>
      </w:pPr>
      <w:r w:rsidRPr="0031509D">
        <w:rPr>
          <w:lang w:val="en-GB"/>
        </w:rPr>
        <w:br w:type="page"/>
      </w:r>
    </w:p>
    <w:p w:rsidR="00496662" w:rsidRPr="0031509D" w:rsidRDefault="00496662" w:rsidP="00695533">
      <w:pPr>
        <w:rPr>
          <w:lang w:val="en-GB"/>
        </w:rPr>
      </w:pPr>
    </w:p>
    <w:p w:rsidR="00496662" w:rsidRPr="0031509D" w:rsidRDefault="00496662" w:rsidP="00695533">
      <w:pPr>
        <w:jc w:val="both"/>
        <w:rPr>
          <w:b/>
          <w:bCs/>
          <w:color w:val="FF0000"/>
        </w:rPr>
      </w:pPr>
      <w:r w:rsidRPr="00695533">
        <w:rPr>
          <w:b/>
          <w:bCs/>
          <w:color w:val="FF0000"/>
          <w:lang w:val="en-GB"/>
        </w:rPr>
        <w:t xml:space="preserve">CAREERS DEVELOPMENT GROUP. </w:t>
      </w:r>
      <w:r w:rsidRPr="0031509D">
        <w:rPr>
          <w:b/>
          <w:bCs/>
          <w:color w:val="FF0000"/>
        </w:rPr>
        <w:t>(LONDRES)</w:t>
      </w:r>
    </w:p>
    <w:p w:rsidR="00496662" w:rsidRPr="0031509D" w:rsidRDefault="00496662" w:rsidP="00695533">
      <w:pPr>
        <w:jc w:val="both"/>
        <w:rPr>
          <w:b/>
          <w:bCs/>
        </w:rPr>
      </w:pPr>
    </w:p>
    <w:p w:rsidR="00496662" w:rsidRDefault="00496662" w:rsidP="00695533">
      <w:pPr>
        <w:jc w:val="both"/>
      </w:pPr>
      <w:r w:rsidRPr="00DD787F">
        <w:t>CDG es una organizaci</w:t>
      </w:r>
      <w:r>
        <w:t>ón que  apoya a personas que han estado fuera del mercado laboral, especialmente  personas paradas de larga duración,  o que tienen problemas importantes para acceder al empleo.</w:t>
      </w:r>
    </w:p>
    <w:p w:rsidR="00496662" w:rsidRDefault="00496662" w:rsidP="00695533">
      <w:pPr>
        <w:jc w:val="both"/>
      </w:pPr>
      <w:r>
        <w:t xml:space="preserve">Proporcionan formación, experiencia laboral y  apoyo en aspectos complementarios que faciliten su inserción social. Trabajan sobre itinerarios individualizados y mejora de competencias incluyendo competencias relacionales y personales que  faciliten su motivación, introduciendo además la posibilidad de realizar prácticas en empresas. </w:t>
      </w:r>
    </w:p>
    <w:p w:rsidR="00496662" w:rsidRDefault="00496662" w:rsidP="00695533">
      <w:pPr>
        <w:jc w:val="both"/>
      </w:pPr>
      <w:r>
        <w:t xml:space="preserve">Sus </w:t>
      </w:r>
      <w:r w:rsidRPr="00FB1578">
        <w:rPr>
          <w:b/>
          <w:bCs/>
        </w:rPr>
        <w:t xml:space="preserve">servicios </w:t>
      </w:r>
      <w:r>
        <w:t>se concentran en  5 áreas:</w:t>
      </w:r>
    </w:p>
    <w:p w:rsidR="00496662" w:rsidRDefault="00496662" w:rsidP="00695533">
      <w:pPr>
        <w:numPr>
          <w:ilvl w:val="0"/>
          <w:numId w:val="3"/>
        </w:numPr>
        <w:spacing w:after="0" w:line="240" w:lineRule="auto"/>
        <w:jc w:val="both"/>
      </w:pPr>
      <w:r w:rsidRPr="00DD787F">
        <w:rPr>
          <w:u w:val="single"/>
        </w:rPr>
        <w:t>Formación:</w:t>
      </w:r>
      <w:r>
        <w:t xml:space="preserve">  orientación, cualificación profesional y formación prelaboral</w:t>
      </w:r>
    </w:p>
    <w:p w:rsidR="00496662" w:rsidRDefault="00496662" w:rsidP="00695533">
      <w:pPr>
        <w:numPr>
          <w:ilvl w:val="0"/>
          <w:numId w:val="3"/>
        </w:numPr>
        <w:spacing w:after="0" w:line="240" w:lineRule="auto"/>
        <w:jc w:val="both"/>
      </w:pPr>
      <w:r>
        <w:rPr>
          <w:u w:val="single"/>
        </w:rPr>
        <w:t>Desarrollo personal:</w:t>
      </w:r>
      <w:r>
        <w:t xml:space="preserve">  prácticas entrevistas,  autoconfianza</w:t>
      </w:r>
    </w:p>
    <w:p w:rsidR="00496662" w:rsidRPr="00DD787F" w:rsidRDefault="00496662" w:rsidP="00695533">
      <w:pPr>
        <w:numPr>
          <w:ilvl w:val="0"/>
          <w:numId w:val="3"/>
        </w:numPr>
        <w:spacing w:after="0" w:line="240" w:lineRule="auto"/>
        <w:jc w:val="both"/>
        <w:rPr>
          <w:u w:val="single"/>
        </w:rPr>
      </w:pPr>
      <w:r w:rsidRPr="00DD787F">
        <w:rPr>
          <w:u w:val="single"/>
        </w:rPr>
        <w:t>Prácticas en empresas</w:t>
      </w:r>
      <w:r>
        <w:rPr>
          <w:u w:val="single"/>
        </w:rPr>
        <w:t xml:space="preserve">: </w:t>
      </w:r>
      <w:r>
        <w:t xml:space="preserve"> experiencia de trabajo en los sectores de medio ambiente y servicios comunitarios</w:t>
      </w:r>
    </w:p>
    <w:p w:rsidR="00496662" w:rsidRPr="00DD787F" w:rsidRDefault="00496662" w:rsidP="00695533">
      <w:pPr>
        <w:numPr>
          <w:ilvl w:val="0"/>
          <w:numId w:val="3"/>
        </w:numPr>
        <w:spacing w:after="0" w:line="240" w:lineRule="auto"/>
        <w:jc w:val="both"/>
        <w:rPr>
          <w:u w:val="single"/>
        </w:rPr>
      </w:pPr>
      <w:r>
        <w:rPr>
          <w:u w:val="single"/>
        </w:rPr>
        <w:t xml:space="preserve">Búsqueda de empleo: </w:t>
      </w:r>
      <w:r>
        <w:t xml:space="preserve"> asesoramiento sobre CV, búsqueda y mediación en empleo</w:t>
      </w:r>
    </w:p>
    <w:p w:rsidR="00496662" w:rsidRPr="00FB1578" w:rsidRDefault="00496662" w:rsidP="00695533">
      <w:pPr>
        <w:numPr>
          <w:ilvl w:val="0"/>
          <w:numId w:val="3"/>
        </w:numPr>
        <w:spacing w:after="0" w:line="240" w:lineRule="auto"/>
        <w:jc w:val="both"/>
        <w:rPr>
          <w:u w:val="single"/>
        </w:rPr>
      </w:pPr>
      <w:r w:rsidRPr="00DD787F">
        <w:rPr>
          <w:u w:val="single"/>
        </w:rPr>
        <w:t xml:space="preserve"> Tutoría laboral</w:t>
      </w:r>
      <w:r>
        <w:rPr>
          <w:u w:val="single"/>
        </w:rPr>
        <w:t>:</w:t>
      </w:r>
      <w:r>
        <w:t xml:space="preserve"> asesoramiento y apoyo tras la incorporación al empleo</w:t>
      </w:r>
    </w:p>
    <w:p w:rsidR="00496662" w:rsidRDefault="00496662" w:rsidP="00695533">
      <w:pPr>
        <w:jc w:val="both"/>
      </w:pPr>
      <w:r>
        <w:rPr>
          <w:b/>
          <w:bCs/>
        </w:rPr>
        <w:t xml:space="preserve">Grupo diana: </w:t>
      </w:r>
      <w:r>
        <w:t xml:space="preserve"> desde 16 /64 años,, son derivados por el Servicio Público de Empleo o la Agencia para el Fomento de Habilidades.  Algunas de las personas presentan asociados problemas  de discapacidad o alteraciones ene el ámbito de la salud mental, a veces consecuencias  de su situación de desempleo.</w:t>
      </w:r>
    </w:p>
    <w:p w:rsidR="00496662" w:rsidRDefault="00496662" w:rsidP="00695533">
      <w:pPr>
        <w:jc w:val="both"/>
      </w:pPr>
      <w:r>
        <w:rPr>
          <w:b/>
          <w:bCs/>
        </w:rPr>
        <w:t xml:space="preserve">Lugar de trabajo: </w:t>
      </w:r>
      <w:r>
        <w:t xml:space="preserve"> Oficina central en Putney, en el Sudeste de Londres con centros también  localizados en el área central, , intentan  expandirse en  UK e internacionalmente.</w:t>
      </w:r>
    </w:p>
    <w:p w:rsidR="00496662" w:rsidRPr="00FB1578" w:rsidRDefault="00496662" w:rsidP="00695533">
      <w:pPr>
        <w:jc w:val="both"/>
      </w:pPr>
      <w:r>
        <w:rPr>
          <w:b/>
          <w:bCs/>
        </w:rPr>
        <w:t xml:space="preserve">Fondos: </w:t>
      </w:r>
      <w:r>
        <w:t xml:space="preserve"> Fondos públicos, Servicios de empleo y Agencia descrita, además del Fondo Social Europeo</w:t>
      </w:r>
    </w:p>
    <w:p w:rsidR="00496662" w:rsidRPr="00471917" w:rsidRDefault="00496662" w:rsidP="00695533">
      <w:pPr>
        <w:jc w:val="both"/>
        <w:rPr>
          <w:b/>
          <w:bCs/>
          <w:color w:val="FF0000"/>
        </w:rPr>
      </w:pPr>
      <w:r w:rsidRPr="00471917">
        <w:rPr>
          <w:b/>
          <w:bCs/>
          <w:color w:val="FF0000"/>
        </w:rPr>
        <w:t>CENTRO DE RECURSOS PARA LA CULTURA Y EL MEDIO AMBIENTE- ESCUELA DE SEGUN</w:t>
      </w:r>
      <w:r>
        <w:rPr>
          <w:b/>
          <w:bCs/>
          <w:color w:val="FF0000"/>
        </w:rPr>
        <w:t>DA OPORTUNIDAD  KALITHEA. (ATENAS)</w:t>
      </w:r>
    </w:p>
    <w:p w:rsidR="00496662" w:rsidRDefault="00496662" w:rsidP="00695533">
      <w:pPr>
        <w:jc w:val="both"/>
        <w:rPr>
          <w:b/>
          <w:bCs/>
        </w:rPr>
      </w:pPr>
    </w:p>
    <w:p w:rsidR="00496662" w:rsidRDefault="00496662" w:rsidP="00695533">
      <w:pPr>
        <w:jc w:val="both"/>
      </w:pPr>
      <w:r>
        <w:t>Por la temática del programa y el eje de trabajo,  estas dos entidades se han incorporado conjuntamente, ya que el director del Centro de recursos es a su vez director de la escuela de segunda Oportunidad.</w:t>
      </w:r>
    </w:p>
    <w:p w:rsidR="00496662" w:rsidRDefault="00496662" w:rsidP="00695533">
      <w:pPr>
        <w:jc w:val="both"/>
      </w:pPr>
    </w:p>
    <w:p w:rsidR="00496662" w:rsidRDefault="00496662" w:rsidP="00695533">
      <w:pPr>
        <w:jc w:val="both"/>
      </w:pPr>
      <w:r>
        <w:rPr>
          <w:b/>
          <w:bCs/>
        </w:rPr>
        <w:t xml:space="preserve">Centro de Recursos: </w:t>
      </w:r>
      <w:r>
        <w:t>Este centro  tiene como eje la búsqueda de sectores innovadores en el desarrollo cultural y medioambiental. Vinculado a otros programas en la ciudad de Atenas trabaja asociado a la red de Escuelas de segunda Oportunidad, para favorecer  la inclusión laboral de jóvenes a través de la oferta de nuevos programas que puedan ser accesibles a su nivel de cualificación  pero que puedan  ser viables para su inserción. En la actualidad  uno de los programas que están desarrollando es la conservación de los fachadas de edificios a través de la introducción de elementos biológicos, de forma que trabajan  conjuntamente la recuperación cultural, la incorporación de elementos medio ambientales y la formación para el empleo con jóvenes a través de la  Escueal de segunda oportunidad ( similar a la Escuela Taller en España)  que es la que desarrolla la formación. Web: www.ekeppol.gr</w:t>
      </w:r>
    </w:p>
    <w:p w:rsidR="00496662" w:rsidRDefault="00496662" w:rsidP="00695533">
      <w:pPr>
        <w:jc w:val="both"/>
      </w:pPr>
    </w:p>
    <w:p w:rsidR="00496662" w:rsidRDefault="00496662" w:rsidP="00695533">
      <w:pPr>
        <w:jc w:val="both"/>
      </w:pPr>
      <w:r>
        <w:rPr>
          <w:b/>
          <w:bCs/>
        </w:rPr>
        <w:t xml:space="preserve">Escuela de 2ª Oportunidad de  Kallithea. </w:t>
      </w:r>
      <w:r>
        <w:t xml:space="preserve"> La  escuela fue fundada en el 2003   bajo la supervisión del  Instituto para la formación a lo largo de la vida y el Ministerio de educación.   Su objetivo es la inserción   a través de la formación y el empleo de sectores más vulnerables. Para ello utiliza  métodos innovadores que incluyen la interacción entre  formadores/as y   alumnado a través del aprendizaje colaborador.  La escuela ha participado en diferentes programas europeos. Ver: www.sderesearchers.gr</w:t>
      </w:r>
    </w:p>
    <w:p w:rsidR="00496662" w:rsidRDefault="00496662" w:rsidP="00695533">
      <w:pPr>
        <w:jc w:val="both"/>
      </w:pPr>
      <w:r>
        <w:t>En la actualidad trabaja con  alumnado en dos niveles según el grado de competencia. Tienen la posibilidad de obtener una titulación básica y continuar estudiando si lo desean.</w:t>
      </w:r>
    </w:p>
    <w:p w:rsidR="00496662" w:rsidRDefault="00496662" w:rsidP="00695533">
      <w:pPr>
        <w:jc w:val="both"/>
      </w:pPr>
    </w:p>
    <w:p w:rsidR="00496662" w:rsidRDefault="00496662" w:rsidP="00695533">
      <w:pPr>
        <w:jc w:val="both"/>
      </w:pPr>
      <w:r>
        <w:t>La Escuela de segunda Oportunidad de Kallithea es una de las Escuelas más importantes en Grecia y  es considerada un ejemplo de buenas prácticas que suelen ser difundidas por los medios informativos. Tiene una alta demanda de alumnado que desea incorporarse al programa</w:t>
      </w:r>
    </w:p>
    <w:p w:rsidR="00496662" w:rsidRDefault="00496662" w:rsidP="00695533">
      <w:pPr>
        <w:jc w:val="both"/>
      </w:pPr>
    </w:p>
    <w:p w:rsidR="00496662" w:rsidRDefault="00496662" w:rsidP="00695533">
      <w:pPr>
        <w:jc w:val="both"/>
      </w:pPr>
      <w:r>
        <w:rPr>
          <w:b/>
          <w:bCs/>
        </w:rPr>
        <w:t xml:space="preserve">Población diana: </w:t>
      </w:r>
      <w:r>
        <w:t>Población entre 18-65 años con menores competencias o soportes que precisen  acceso a  titulaciones no obtenidas en escolarización obligatoria o formación específica en el empleo</w:t>
      </w:r>
    </w:p>
    <w:p w:rsidR="00496662" w:rsidRDefault="00496662" w:rsidP="00695533">
      <w:pPr>
        <w:jc w:val="both"/>
      </w:pPr>
    </w:p>
    <w:p w:rsidR="00496662" w:rsidRDefault="00496662" w:rsidP="00695533">
      <w:pPr>
        <w:jc w:val="both"/>
      </w:pPr>
      <w:r>
        <w:rPr>
          <w:b/>
          <w:bCs/>
        </w:rPr>
        <w:t xml:space="preserve">Fondos: </w:t>
      </w:r>
      <w:r>
        <w:t xml:space="preserve"> Públicos . Ayuntamiento de Atenas. Ministerio de  Educación</w:t>
      </w:r>
    </w:p>
    <w:p w:rsidR="00496662" w:rsidRDefault="00496662" w:rsidP="00695533">
      <w:pPr>
        <w:jc w:val="both"/>
      </w:pPr>
    </w:p>
    <w:p w:rsidR="00496662" w:rsidRPr="00471917" w:rsidRDefault="00496662" w:rsidP="00695533">
      <w:pPr>
        <w:jc w:val="both"/>
        <w:rPr>
          <w:b/>
          <w:bCs/>
          <w:color w:val="FF0000"/>
        </w:rPr>
      </w:pPr>
      <w:r w:rsidRPr="00471917">
        <w:rPr>
          <w:b/>
          <w:bCs/>
          <w:color w:val="FF0000"/>
        </w:rPr>
        <w:t>VHS- ESSEN</w:t>
      </w:r>
      <w:r w:rsidRPr="00471917">
        <w:rPr>
          <w:color w:val="FF0000"/>
        </w:rPr>
        <w:t xml:space="preserve">. </w:t>
      </w:r>
      <w:r>
        <w:rPr>
          <w:color w:val="FF0000"/>
        </w:rPr>
        <w:t xml:space="preserve">( </w:t>
      </w:r>
      <w:r>
        <w:rPr>
          <w:b/>
          <w:bCs/>
          <w:color w:val="FF0000"/>
        </w:rPr>
        <w:t>ESSEN-ALEMANIA</w:t>
      </w:r>
      <w:r w:rsidRPr="00471917">
        <w:rPr>
          <w:b/>
          <w:bCs/>
          <w:color w:val="FF0000"/>
        </w:rPr>
        <w:t>)</w:t>
      </w:r>
    </w:p>
    <w:p w:rsidR="00496662" w:rsidRDefault="00496662" w:rsidP="00695533">
      <w:pPr>
        <w:jc w:val="both"/>
        <w:rPr>
          <w:b/>
          <w:bCs/>
        </w:rPr>
      </w:pPr>
    </w:p>
    <w:p w:rsidR="00496662" w:rsidRDefault="00496662" w:rsidP="00695533">
      <w:pPr>
        <w:jc w:val="both"/>
      </w:pPr>
      <w:r>
        <w:t>Localizada en el Valle del Ruhr, antigua zona minera que fue recuperada   a través de la implantación de nuevos sectores de actividad, la  Escuela de Formación  de Essen,  desarrolla como principales actividades:</w:t>
      </w:r>
    </w:p>
    <w:p w:rsidR="00496662" w:rsidRDefault="00496662" w:rsidP="00695533">
      <w:pPr>
        <w:jc w:val="both"/>
      </w:pPr>
    </w:p>
    <w:p w:rsidR="00496662" w:rsidRDefault="00496662" w:rsidP="00695533">
      <w:pPr>
        <w:numPr>
          <w:ilvl w:val="0"/>
          <w:numId w:val="3"/>
        </w:numPr>
        <w:spacing w:after="0" w:line="240" w:lineRule="auto"/>
        <w:jc w:val="both"/>
      </w:pPr>
      <w:r>
        <w:t>Escuela de Segunda Oportunidad: para facilitar  el acceso a los programas de jóvenes  con menores competencias a través de programas de formación para la vida y para el empleo</w:t>
      </w:r>
    </w:p>
    <w:p w:rsidR="00496662" w:rsidRDefault="00496662" w:rsidP="00695533">
      <w:pPr>
        <w:numPr>
          <w:ilvl w:val="0"/>
          <w:numId w:val="3"/>
        </w:numPr>
        <w:spacing w:after="0" w:line="240" w:lineRule="auto"/>
        <w:jc w:val="both"/>
      </w:pPr>
      <w:r>
        <w:t>Universidad Popular para jóvenes y adultos</w:t>
      </w:r>
    </w:p>
    <w:p w:rsidR="00496662" w:rsidRDefault="00496662" w:rsidP="00695533">
      <w:pPr>
        <w:numPr>
          <w:ilvl w:val="0"/>
          <w:numId w:val="3"/>
        </w:numPr>
        <w:spacing w:after="0" w:line="240" w:lineRule="auto"/>
        <w:jc w:val="both"/>
      </w:pPr>
      <w:r>
        <w:t>Cursos de orientación profesional para personas en situación de desempleo</w:t>
      </w:r>
    </w:p>
    <w:p w:rsidR="00496662" w:rsidRDefault="00496662" w:rsidP="00695533">
      <w:pPr>
        <w:numPr>
          <w:ilvl w:val="0"/>
          <w:numId w:val="3"/>
        </w:numPr>
        <w:spacing w:after="0" w:line="240" w:lineRule="auto"/>
        <w:jc w:val="both"/>
      </w:pPr>
      <w:r>
        <w:t>Cursos de  formación  para el empleo</w:t>
      </w:r>
    </w:p>
    <w:p w:rsidR="00496662" w:rsidRDefault="00496662" w:rsidP="00695533">
      <w:pPr>
        <w:numPr>
          <w:ilvl w:val="0"/>
          <w:numId w:val="3"/>
        </w:numPr>
        <w:spacing w:after="0" w:line="240" w:lineRule="auto"/>
        <w:jc w:val="both"/>
      </w:pPr>
      <w:r>
        <w:t>Formación  profesional una vez obtenida la formación profesional básica</w:t>
      </w:r>
    </w:p>
    <w:p w:rsidR="00496662" w:rsidRDefault="00496662" w:rsidP="00695533">
      <w:pPr>
        <w:numPr>
          <w:ilvl w:val="0"/>
          <w:numId w:val="3"/>
        </w:numPr>
        <w:spacing w:after="0" w:line="240" w:lineRule="auto"/>
        <w:jc w:val="both"/>
      </w:pPr>
      <w:r>
        <w:t>Formación continua para personas que deseen mejorar su competencia laboral o ampliar su experiencia profesional</w:t>
      </w:r>
    </w:p>
    <w:p w:rsidR="00496662" w:rsidRDefault="00496662" w:rsidP="00695533">
      <w:pPr>
        <w:jc w:val="both"/>
      </w:pPr>
    </w:p>
    <w:p w:rsidR="00496662" w:rsidRDefault="00496662" w:rsidP="00695533">
      <w:pPr>
        <w:jc w:val="both"/>
      </w:pPr>
      <w:r>
        <w:t>Incluyen soporte económico en la ejecución de alguna de las actividades y trabajan con empresas de la zona.</w:t>
      </w:r>
    </w:p>
    <w:p w:rsidR="00496662" w:rsidRDefault="00496662" w:rsidP="00695533">
      <w:pPr>
        <w:jc w:val="both"/>
      </w:pPr>
    </w:p>
    <w:p w:rsidR="00496662" w:rsidRDefault="00496662" w:rsidP="00695533">
      <w:pPr>
        <w:jc w:val="both"/>
      </w:pPr>
      <w:r>
        <w:t>La Escuela forma parte de la Red Europea de Escuelas de Segunda Oportunidad, si bien la Escuela de Segunda Oportunidad es solo una parte de su actividad.</w:t>
      </w:r>
    </w:p>
    <w:p w:rsidR="00496662" w:rsidRDefault="00496662" w:rsidP="00695533">
      <w:pPr>
        <w:jc w:val="both"/>
        <w:rPr>
          <w:b/>
          <w:bCs/>
        </w:rPr>
      </w:pPr>
    </w:p>
    <w:p w:rsidR="00496662" w:rsidRDefault="00496662" w:rsidP="00695533">
      <w:pPr>
        <w:jc w:val="both"/>
      </w:pPr>
      <w:r>
        <w:rPr>
          <w:b/>
          <w:bCs/>
        </w:rPr>
        <w:t xml:space="preserve">Puntos de trabajo en el programa: </w:t>
      </w:r>
      <w:r>
        <w:t>Además de las actividades señaladas uno de los intereses centrales en  VHS Essen es  el desarrollo de  metodologías y herramientas para los equipos formativos,  que puedan incidir en una mejora del proceso formativo y por tanto de las  competencias y posteriores certificaciones del alumnado (de hecho han propuesto un nuevo programa en ese marco dentro de la Iniciativa de Aprendizaje Permanente.)</w:t>
      </w:r>
    </w:p>
    <w:p w:rsidR="00496662" w:rsidRDefault="00496662" w:rsidP="00695533">
      <w:pPr>
        <w:jc w:val="both"/>
      </w:pPr>
    </w:p>
    <w:p w:rsidR="00496662" w:rsidRDefault="00496662" w:rsidP="00695533">
      <w:pPr>
        <w:jc w:val="both"/>
      </w:pPr>
      <w:r>
        <w:rPr>
          <w:b/>
          <w:bCs/>
        </w:rPr>
        <w:t xml:space="preserve">Población diana: </w:t>
      </w:r>
      <w:r>
        <w:t>Jóvenes y Adultos que precisan de formaciones complementarias  para obtención de titulaciones, inserción en el empleo y mejora de competencias sociales y profesionales.</w:t>
      </w:r>
    </w:p>
    <w:p w:rsidR="00496662" w:rsidRPr="008D3974" w:rsidRDefault="00496662" w:rsidP="00695533">
      <w:pPr>
        <w:jc w:val="both"/>
      </w:pPr>
      <w:r>
        <w:t>Dirección web: www.essen.de</w:t>
      </w:r>
    </w:p>
    <w:p w:rsidR="00496662" w:rsidRPr="00471917" w:rsidRDefault="00496662" w:rsidP="00695533">
      <w:pPr>
        <w:jc w:val="both"/>
        <w:rPr>
          <w:b/>
          <w:bCs/>
          <w:color w:val="FF0000"/>
        </w:rPr>
      </w:pPr>
      <w:r w:rsidRPr="00471917">
        <w:rPr>
          <w:b/>
          <w:bCs/>
          <w:color w:val="FF0000"/>
        </w:rPr>
        <w:t>AYUNTAMIENTO DE SOPOT</w:t>
      </w:r>
      <w:r>
        <w:rPr>
          <w:b/>
          <w:bCs/>
          <w:color w:val="FF0000"/>
        </w:rPr>
        <w:t xml:space="preserve"> ( POLONIA)</w:t>
      </w:r>
    </w:p>
    <w:p w:rsidR="00496662" w:rsidRDefault="00496662" w:rsidP="00695533">
      <w:pPr>
        <w:jc w:val="both"/>
      </w:pPr>
      <w:r>
        <w:t xml:space="preserve">Situado al lado  de Gdansk, en el Norte de Polonia,  es una zona que tras los graves problemas sufridos por la pérdida de la Industria Naval, en la actualidad ha tenido un importante desarrollo económico mediante  la búsqueda de nuevas actividades ( ligadas en el caso de Sopot muchas de ellas al  turismo). </w:t>
      </w:r>
    </w:p>
    <w:p w:rsidR="00496662" w:rsidRDefault="00496662" w:rsidP="00695533">
      <w:pPr>
        <w:jc w:val="both"/>
      </w:pPr>
    </w:p>
    <w:p w:rsidR="00496662" w:rsidRDefault="00496662" w:rsidP="00695533">
      <w:pPr>
        <w:jc w:val="both"/>
      </w:pPr>
      <w:r>
        <w:t>El Ayuntamiento de Sopot desarrolla su actividad a través de diferentes organizaciones no gubernamentales a las que provee de fondos para desarrollar los distintos programas, trabajando en colaboración muy cercana con las distintas entidades.</w:t>
      </w:r>
    </w:p>
    <w:p w:rsidR="00496662" w:rsidRDefault="00496662" w:rsidP="00695533">
      <w:pPr>
        <w:jc w:val="both"/>
      </w:pPr>
    </w:p>
    <w:p w:rsidR="00496662" w:rsidRDefault="00496662" w:rsidP="00695533">
      <w:pPr>
        <w:jc w:val="both"/>
      </w:pPr>
      <w:r>
        <w:rPr>
          <w:b/>
          <w:bCs/>
        </w:rPr>
        <w:t xml:space="preserve">Puntos de trabajo en el programa: </w:t>
      </w:r>
      <w:r>
        <w:t>En el programa se ha incorporado el departamento de formación especialmente interesado en el trabajo en la inserción y mejora de las cualificaciones de jóvenes que abandonan los estudios. En la actualidad  desarrollan  programas de formación con Cáritas  pero quieren incorporar nuevos modelos de trabajo Especialmente interesados en el programa de Escuelas Taller y en el desarrollo de métodos de formación que favorezcan la inclusión de  los y las jóvenes.</w:t>
      </w:r>
    </w:p>
    <w:p w:rsidR="00496662" w:rsidRDefault="00496662" w:rsidP="00695533">
      <w:pPr>
        <w:jc w:val="both"/>
      </w:pPr>
    </w:p>
    <w:p w:rsidR="00496662" w:rsidRDefault="00496662" w:rsidP="00695533">
      <w:pPr>
        <w:jc w:val="both"/>
      </w:pPr>
      <w:r>
        <w:t>Forman parte de la red Europea de Ciudades  de escuelas de 2ª Oportunidad.</w:t>
      </w:r>
    </w:p>
    <w:p w:rsidR="00496662" w:rsidRDefault="00496662" w:rsidP="00695533">
      <w:pPr>
        <w:jc w:val="both"/>
      </w:pPr>
    </w:p>
    <w:p w:rsidR="00496662" w:rsidRPr="00707473" w:rsidRDefault="00496662" w:rsidP="00695533">
      <w:pPr>
        <w:jc w:val="both"/>
      </w:pPr>
      <w:r>
        <w:rPr>
          <w:b/>
          <w:bCs/>
        </w:rPr>
        <w:t xml:space="preserve">Población diana: </w:t>
      </w:r>
      <w:r>
        <w:t>Dirigido a jóvenes  en el programa,  el Ayuntamiento trabaja con diversos programas dirigidos a la  orientación y formación de personas en situación de desempleo y con menores recursos, colaborando activamente con el Ayuntamiento  de Gdansk.</w:t>
      </w:r>
    </w:p>
    <w:p w:rsidR="00496662" w:rsidRDefault="00496662" w:rsidP="00695533">
      <w:pPr>
        <w:jc w:val="both"/>
      </w:pPr>
    </w:p>
    <w:p w:rsidR="00496662" w:rsidRDefault="00496662" w:rsidP="00695533">
      <w:pPr>
        <w:jc w:val="both"/>
        <w:rPr>
          <w:b/>
          <w:bCs/>
          <w:sz w:val="28"/>
          <w:szCs w:val="28"/>
        </w:rPr>
      </w:pPr>
      <w:r w:rsidRPr="00067195">
        <w:rPr>
          <w:b/>
          <w:bCs/>
          <w:sz w:val="28"/>
          <w:szCs w:val="28"/>
        </w:rPr>
        <w:t>PROGRAMA Y METODOLOGÍA DE TRABAJO</w:t>
      </w:r>
    </w:p>
    <w:p w:rsidR="00496662" w:rsidRDefault="00496662" w:rsidP="00695533">
      <w:pPr>
        <w:jc w:val="both"/>
        <w:rPr>
          <w:b/>
          <w:bCs/>
          <w:sz w:val="28"/>
          <w:szCs w:val="28"/>
        </w:rPr>
      </w:pPr>
    </w:p>
    <w:p w:rsidR="00496662" w:rsidRDefault="00496662" w:rsidP="00695533">
      <w:pPr>
        <w:jc w:val="both"/>
      </w:pPr>
      <w:r>
        <w:t xml:space="preserve">La red </w:t>
      </w:r>
      <w:r w:rsidRPr="00067195">
        <w:t xml:space="preserve"> </w:t>
      </w:r>
      <w:r w:rsidRPr="00CA5FAC">
        <w:rPr>
          <w:b/>
          <w:bCs/>
        </w:rPr>
        <w:t>Juventud+i+</w:t>
      </w:r>
      <w:r>
        <w:rPr>
          <w:b/>
          <w:bCs/>
        </w:rPr>
        <w:t>E</w:t>
      </w:r>
      <w:r>
        <w:t xml:space="preserve"> contempla tres ejes de actividad fundamentales, que son los siguientes:</w:t>
      </w:r>
    </w:p>
    <w:p w:rsidR="00496662" w:rsidRDefault="00496662" w:rsidP="00067195">
      <w:pPr>
        <w:pStyle w:val="ListParagraph"/>
        <w:numPr>
          <w:ilvl w:val="0"/>
          <w:numId w:val="2"/>
        </w:numPr>
        <w:jc w:val="both"/>
      </w:pPr>
      <w:r>
        <w:t>Identificación de sectores innovadores para el empleo de las personas más jóvenes que han abandonado el sistema escolar.</w:t>
      </w:r>
    </w:p>
    <w:p w:rsidR="00496662" w:rsidRPr="00CA5FAC" w:rsidRDefault="00496662" w:rsidP="00303718">
      <w:pPr>
        <w:pStyle w:val="ListParagraph"/>
        <w:numPr>
          <w:ilvl w:val="0"/>
          <w:numId w:val="2"/>
        </w:numPr>
        <w:jc w:val="both"/>
        <w:rPr>
          <w:rFonts w:ascii="Verdana" w:hAnsi="Verdana" w:cs="Verdana"/>
          <w:sz w:val="20"/>
          <w:szCs w:val="20"/>
        </w:rPr>
      </w:pPr>
      <w:r>
        <w:t>Identificación de metodologías de trabajo para intervenir con personas jóvenes  y sus formadores, principalmente en el ámbito del desarrollo de competencias laborales básicas y su evaluación.</w:t>
      </w:r>
    </w:p>
    <w:p w:rsidR="00496662" w:rsidRPr="00CA5FAC" w:rsidRDefault="00496662" w:rsidP="00303718">
      <w:pPr>
        <w:pStyle w:val="ListParagraph"/>
        <w:numPr>
          <w:ilvl w:val="0"/>
          <w:numId w:val="2"/>
        </w:numPr>
        <w:jc w:val="both"/>
        <w:rPr>
          <w:rFonts w:ascii="Verdana" w:hAnsi="Verdana" w:cs="Verdana"/>
          <w:sz w:val="20"/>
          <w:szCs w:val="20"/>
        </w:rPr>
      </w:pPr>
      <w:r>
        <w:t>Actividades de movilidad de alumnado y personal docente y técnico.</w:t>
      </w:r>
    </w:p>
    <w:p w:rsidR="00496662" w:rsidRDefault="00496662" w:rsidP="00CA5FAC">
      <w:pPr>
        <w:jc w:val="both"/>
        <w:rPr>
          <w:rFonts w:ascii="Verdana" w:hAnsi="Verdana" w:cs="Verdana"/>
          <w:sz w:val="20"/>
          <w:szCs w:val="20"/>
        </w:rPr>
      </w:pPr>
    </w:p>
    <w:p w:rsidR="00496662" w:rsidRPr="0031509D" w:rsidRDefault="00496662" w:rsidP="00CA5FAC">
      <w:pPr>
        <w:jc w:val="both"/>
      </w:pPr>
      <w:r w:rsidRPr="0031509D">
        <w:t xml:space="preserve">En el marco de estos ejes se desarrolla el trabajo de la red y la cooperación entre los socios, siendo las actividades principales las siguientes: </w:t>
      </w:r>
    </w:p>
    <w:p w:rsidR="00496662" w:rsidRPr="0031509D" w:rsidRDefault="00496662" w:rsidP="00CA5FAC">
      <w:pPr>
        <w:jc w:val="both"/>
      </w:pPr>
      <w:r w:rsidRPr="0031509D">
        <w:t>1</w:t>
      </w:r>
      <w:r w:rsidRPr="000A09CE">
        <w:rPr>
          <w:b/>
          <w:bCs/>
        </w:rPr>
        <w:t>.- Identificar y recopilar  buenas prácticas, información y materiales</w:t>
      </w:r>
      <w:r w:rsidRPr="0031509D">
        <w:t xml:space="preserve"> i</w:t>
      </w:r>
      <w:r w:rsidRPr="000A09CE">
        <w:rPr>
          <w:b/>
          <w:bCs/>
        </w:rPr>
        <w:t>nnovadores</w:t>
      </w:r>
      <w:r w:rsidRPr="0031509D">
        <w:t xml:space="preserve"> que sirvan </w:t>
      </w:r>
      <w:r>
        <w:t xml:space="preserve">a las entidades socias </w:t>
      </w:r>
      <w:r w:rsidRPr="0031509D">
        <w:t>para establecer nuevas pautas de trabajo y  actuaciones relacionadas con la formación, orientación e inserción laboral de las personas jóvenes desempleadas que han abandonado el sistema escolar sin cualificación suficiente para el empleo.</w:t>
      </w:r>
    </w:p>
    <w:p w:rsidR="00496662" w:rsidRDefault="00496662" w:rsidP="00CA5FAC">
      <w:pPr>
        <w:jc w:val="both"/>
      </w:pPr>
      <w:r w:rsidRPr="0031509D">
        <w:t>Para alcanzar este objetivo cada socio identificará las buenas prácticas, actividades innovadores y materiales generados por su entidad o por aquellas existentes en su entorno, recogiendo la información necesaria para que pueda servir al resto de los socios en el momento de diseñar acciones en este ámbito. Con cada una de las actividades identificadas, los soci</w:t>
      </w:r>
      <w:r>
        <w:t>os elaborarán un informe lo más detallado</w:t>
      </w:r>
      <w:r w:rsidRPr="0031509D">
        <w:t xml:space="preserve"> posible que enviará a la coordinación del proyecto para </w:t>
      </w:r>
      <w:r>
        <w:t xml:space="preserve">que </w:t>
      </w:r>
      <w:r w:rsidRPr="0031509D">
        <w:t>a través de la Web del proyecto</w:t>
      </w:r>
      <w:r>
        <w:t xml:space="preserve"> pueda ser consultada por todos los demás</w:t>
      </w:r>
      <w:r w:rsidRPr="0031509D">
        <w:t>.</w:t>
      </w:r>
    </w:p>
    <w:p w:rsidR="00496662" w:rsidRDefault="00496662" w:rsidP="00CA5FAC">
      <w:pPr>
        <w:jc w:val="both"/>
      </w:pPr>
      <w:r>
        <w:t xml:space="preserve">La Web dispondrá de ámbito público y un ámbito privado, en el primero se dará difusión a todos los resultados del trabajo en red y también se publicarán aquellos estudios, noticias o informes de interés para el público en general. En el ámbito privado se recopilará todos los materiales aportados por cada uno de los socios y también de las entidades colaboradoras, al objeto de facilitar que las entidades interactúen e intercambien sus experiencias respecto a las actividades que cada una de ellas lleva a cabo en el marco de sus proyectos. </w:t>
      </w:r>
    </w:p>
    <w:p w:rsidR="00496662" w:rsidRDefault="00496662" w:rsidP="00234375">
      <w:pPr>
        <w:jc w:val="both"/>
      </w:pPr>
      <w:r>
        <w:t xml:space="preserve">FUCOMI realizará una visita a cada una de las entidades socias para conocer en mayor profundidad sus experiencias y buenas prácticas. Las entidades socias colaborarán en la organización de la visita y los contactos necesarios con otras experiencias. </w:t>
      </w:r>
    </w:p>
    <w:p w:rsidR="00496662" w:rsidRDefault="00496662" w:rsidP="00234375">
      <w:pPr>
        <w:jc w:val="both"/>
      </w:pPr>
      <w:r>
        <w:t>FUCOMI organizará para las entidades socias una visita para conocer in situ las experiencias desarrolladas en Asturias en este campo.</w:t>
      </w:r>
    </w:p>
    <w:p w:rsidR="00496662" w:rsidRDefault="00496662" w:rsidP="00CA5FAC">
      <w:pPr>
        <w:jc w:val="both"/>
      </w:pPr>
      <w:r>
        <w:t>2</w:t>
      </w:r>
      <w:r w:rsidRPr="000A09CE">
        <w:rPr>
          <w:b/>
          <w:bCs/>
        </w:rPr>
        <w:t>.- Transferencia de conocimiento al resto de personas que trabajan en programas de formación para el empleo y la inserción laboral</w:t>
      </w:r>
      <w:r>
        <w:t xml:space="preserve">. </w:t>
      </w:r>
      <w:r w:rsidRPr="00234375">
        <w:t xml:space="preserve"> </w:t>
      </w:r>
      <w:r>
        <w:t>Durante el desarrollo del proyecto se organizarán dos seminarios de transferencia, para los que se seleccionarán aquellos proyectos o personas expertas de entre las entidades socias y las entidades colaboradoras, que resulten más interesantes de entre todas las recogidas, para que expongan sus experiencias y buenas prácticas para que los asistentes al seminario puedan reflexionar sobre ellas y realizar consultas a los ponentes. Con las ponencias de cada uno de los seminarios FUCOMI elaborará un dossier que entregará a todos los  asistentes y a quien lo solicite.</w:t>
      </w:r>
    </w:p>
    <w:p w:rsidR="00496662" w:rsidRDefault="00496662" w:rsidP="00CA5FAC">
      <w:pPr>
        <w:jc w:val="both"/>
      </w:pPr>
      <w:r>
        <w:t>Los seminarios de transferencia se celebrarán a finales de enero y finales de octubre.</w:t>
      </w:r>
    </w:p>
    <w:p w:rsidR="00496662" w:rsidRDefault="00496662" w:rsidP="00CA5FAC">
      <w:pPr>
        <w:jc w:val="both"/>
      </w:pPr>
      <w:r>
        <w:t>Se llevarán a cabo 2 reuniones de trabajo con los socios en Asturias coincidiendo con los seminarios de transferencia. La primera tendrá como objetivo el conocimiento mutuo de los socios  y  organizar y planificar el trabajo conjunto. La segunda tendrá por objeto  reforzar el conocimiento entre los socios, analizar y evaluar el desarrollo del trabajo conjunto y plantear nuevas líneas de trabajo y colaboración para el futuro.</w:t>
      </w:r>
    </w:p>
    <w:p w:rsidR="00496662" w:rsidRDefault="00496662" w:rsidP="00CA5FAC">
      <w:pPr>
        <w:jc w:val="both"/>
      </w:pPr>
    </w:p>
    <w:p w:rsidR="00496662" w:rsidRDefault="00496662" w:rsidP="001E01C8">
      <w:pPr>
        <w:jc w:val="both"/>
        <w:sectPr w:rsidR="00496662" w:rsidSect="00A6421D">
          <w:headerReference w:type="default" r:id="rId10"/>
          <w:footerReference w:type="default" r:id="rId11"/>
          <w:pgSz w:w="11906" w:h="16838"/>
          <w:pgMar w:top="1417" w:right="1701" w:bottom="1417" w:left="1701" w:header="708" w:footer="708" w:gutter="0"/>
          <w:cols w:space="708"/>
          <w:docGrid w:linePitch="360"/>
        </w:sectPr>
      </w:pPr>
      <w:r>
        <w:t>3.- Colaborar en la organización de la movilidad de los profesionales. El proyecto contempla, dentro de su programa para la mejora de las competencias de los profesionales y personal docente, un programa de movilidad que consistirá en una estancia de estudio en entidades socias y/o visitas a entidades y empresas relacionadas con los sectores innovadores detectados en el mismo. Las entidades socias colaborarán en la organización y evaluación de la estancia de los formadores y personal docente, facilitando la  información y los contactos necesarios para que la movilidad consiga sus objetivos.</w:t>
      </w:r>
    </w:p>
    <w:p w:rsidR="00496662" w:rsidRDefault="00496662" w:rsidP="00CA5FAC">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8"/>
        <w:gridCol w:w="1036"/>
        <w:gridCol w:w="840"/>
        <w:gridCol w:w="1024"/>
        <w:gridCol w:w="948"/>
        <w:gridCol w:w="669"/>
        <w:gridCol w:w="825"/>
        <w:gridCol w:w="719"/>
        <w:gridCol w:w="591"/>
        <w:gridCol w:w="660"/>
        <w:gridCol w:w="620"/>
        <w:gridCol w:w="627"/>
        <w:gridCol w:w="773"/>
        <w:gridCol w:w="1036"/>
        <w:gridCol w:w="880"/>
        <w:gridCol w:w="1067"/>
      </w:tblGrid>
      <w:tr w:rsidR="00496662">
        <w:tc>
          <w:tcPr>
            <w:tcW w:w="1098" w:type="dxa"/>
          </w:tcPr>
          <w:p w:rsidR="00496662" w:rsidRPr="00573E1A" w:rsidRDefault="00496662" w:rsidP="00573E1A">
            <w:pPr>
              <w:jc w:val="both"/>
              <w:rPr>
                <w:sz w:val="16"/>
                <w:szCs w:val="16"/>
              </w:rPr>
            </w:pPr>
            <w:r w:rsidRPr="00573E1A">
              <w:rPr>
                <w:sz w:val="16"/>
                <w:szCs w:val="16"/>
              </w:rPr>
              <w:t>ACCIONES</w:t>
            </w:r>
          </w:p>
        </w:tc>
        <w:tc>
          <w:tcPr>
            <w:tcW w:w="1036" w:type="dxa"/>
          </w:tcPr>
          <w:p w:rsidR="00496662" w:rsidRPr="00573E1A" w:rsidRDefault="00496662" w:rsidP="00573E1A">
            <w:pPr>
              <w:jc w:val="both"/>
              <w:rPr>
                <w:sz w:val="16"/>
                <w:szCs w:val="16"/>
              </w:rPr>
            </w:pPr>
            <w:r w:rsidRPr="00573E1A">
              <w:rPr>
                <w:sz w:val="16"/>
                <w:szCs w:val="16"/>
              </w:rPr>
              <w:t>SEPTIEMBRE</w:t>
            </w:r>
          </w:p>
        </w:tc>
        <w:tc>
          <w:tcPr>
            <w:tcW w:w="840" w:type="dxa"/>
          </w:tcPr>
          <w:p w:rsidR="00496662" w:rsidRPr="00573E1A" w:rsidRDefault="00496662" w:rsidP="00573E1A">
            <w:pPr>
              <w:jc w:val="both"/>
              <w:rPr>
                <w:sz w:val="16"/>
                <w:szCs w:val="16"/>
              </w:rPr>
            </w:pPr>
            <w:r w:rsidRPr="00573E1A">
              <w:rPr>
                <w:sz w:val="16"/>
                <w:szCs w:val="16"/>
              </w:rPr>
              <w:t>OCTUBRE</w:t>
            </w:r>
          </w:p>
        </w:tc>
        <w:tc>
          <w:tcPr>
            <w:tcW w:w="1024" w:type="dxa"/>
          </w:tcPr>
          <w:p w:rsidR="00496662" w:rsidRPr="00573E1A" w:rsidRDefault="00496662" w:rsidP="00573E1A">
            <w:pPr>
              <w:jc w:val="both"/>
              <w:rPr>
                <w:sz w:val="16"/>
                <w:szCs w:val="16"/>
              </w:rPr>
            </w:pPr>
            <w:r w:rsidRPr="00573E1A">
              <w:rPr>
                <w:sz w:val="16"/>
                <w:szCs w:val="16"/>
              </w:rPr>
              <w:t>NOVIEMBRE</w:t>
            </w:r>
          </w:p>
        </w:tc>
        <w:tc>
          <w:tcPr>
            <w:tcW w:w="948" w:type="dxa"/>
          </w:tcPr>
          <w:p w:rsidR="00496662" w:rsidRPr="00573E1A" w:rsidRDefault="00496662" w:rsidP="00573E1A">
            <w:pPr>
              <w:jc w:val="both"/>
              <w:rPr>
                <w:sz w:val="16"/>
                <w:szCs w:val="16"/>
              </w:rPr>
            </w:pPr>
            <w:r w:rsidRPr="00573E1A">
              <w:rPr>
                <w:sz w:val="16"/>
                <w:szCs w:val="16"/>
              </w:rPr>
              <w:t>DICIEMBRE</w:t>
            </w:r>
          </w:p>
        </w:tc>
        <w:tc>
          <w:tcPr>
            <w:tcW w:w="669" w:type="dxa"/>
          </w:tcPr>
          <w:p w:rsidR="00496662" w:rsidRPr="00573E1A" w:rsidRDefault="00496662" w:rsidP="00573E1A">
            <w:pPr>
              <w:jc w:val="both"/>
              <w:rPr>
                <w:sz w:val="16"/>
                <w:szCs w:val="16"/>
              </w:rPr>
            </w:pPr>
            <w:r w:rsidRPr="00573E1A">
              <w:rPr>
                <w:sz w:val="16"/>
                <w:szCs w:val="16"/>
              </w:rPr>
              <w:t>ENERO</w:t>
            </w:r>
          </w:p>
        </w:tc>
        <w:tc>
          <w:tcPr>
            <w:tcW w:w="825" w:type="dxa"/>
          </w:tcPr>
          <w:p w:rsidR="00496662" w:rsidRPr="00573E1A" w:rsidRDefault="00496662" w:rsidP="00573E1A">
            <w:pPr>
              <w:jc w:val="both"/>
              <w:rPr>
                <w:sz w:val="16"/>
                <w:szCs w:val="16"/>
              </w:rPr>
            </w:pPr>
            <w:r w:rsidRPr="00573E1A">
              <w:rPr>
                <w:sz w:val="16"/>
                <w:szCs w:val="16"/>
              </w:rPr>
              <w:t>FEBRERO</w:t>
            </w:r>
          </w:p>
        </w:tc>
        <w:tc>
          <w:tcPr>
            <w:tcW w:w="719" w:type="dxa"/>
          </w:tcPr>
          <w:p w:rsidR="00496662" w:rsidRPr="00573E1A" w:rsidRDefault="00496662" w:rsidP="00573E1A">
            <w:pPr>
              <w:jc w:val="both"/>
              <w:rPr>
                <w:sz w:val="16"/>
                <w:szCs w:val="16"/>
              </w:rPr>
            </w:pPr>
            <w:r w:rsidRPr="00573E1A">
              <w:rPr>
                <w:sz w:val="16"/>
                <w:szCs w:val="16"/>
              </w:rPr>
              <w:t>MARZO</w:t>
            </w:r>
          </w:p>
        </w:tc>
        <w:tc>
          <w:tcPr>
            <w:tcW w:w="591" w:type="dxa"/>
          </w:tcPr>
          <w:p w:rsidR="00496662" w:rsidRPr="00573E1A" w:rsidRDefault="00496662" w:rsidP="00573E1A">
            <w:pPr>
              <w:jc w:val="both"/>
              <w:rPr>
                <w:sz w:val="16"/>
                <w:szCs w:val="16"/>
              </w:rPr>
            </w:pPr>
            <w:r w:rsidRPr="00573E1A">
              <w:rPr>
                <w:sz w:val="16"/>
                <w:szCs w:val="16"/>
              </w:rPr>
              <w:t>ABRIL</w:t>
            </w:r>
          </w:p>
        </w:tc>
        <w:tc>
          <w:tcPr>
            <w:tcW w:w="660" w:type="dxa"/>
          </w:tcPr>
          <w:p w:rsidR="00496662" w:rsidRPr="00573E1A" w:rsidRDefault="00496662" w:rsidP="00573E1A">
            <w:pPr>
              <w:jc w:val="both"/>
              <w:rPr>
                <w:sz w:val="16"/>
                <w:szCs w:val="16"/>
              </w:rPr>
            </w:pPr>
            <w:r w:rsidRPr="00573E1A">
              <w:rPr>
                <w:sz w:val="16"/>
                <w:szCs w:val="16"/>
              </w:rPr>
              <w:t>MAYO</w:t>
            </w:r>
          </w:p>
        </w:tc>
        <w:tc>
          <w:tcPr>
            <w:tcW w:w="620" w:type="dxa"/>
          </w:tcPr>
          <w:p w:rsidR="00496662" w:rsidRPr="00573E1A" w:rsidRDefault="00496662" w:rsidP="00573E1A">
            <w:pPr>
              <w:jc w:val="both"/>
              <w:rPr>
                <w:sz w:val="16"/>
                <w:szCs w:val="16"/>
              </w:rPr>
            </w:pPr>
            <w:r w:rsidRPr="00573E1A">
              <w:rPr>
                <w:sz w:val="16"/>
                <w:szCs w:val="16"/>
              </w:rPr>
              <w:t>JUNIO</w:t>
            </w:r>
          </w:p>
        </w:tc>
        <w:tc>
          <w:tcPr>
            <w:tcW w:w="627" w:type="dxa"/>
          </w:tcPr>
          <w:p w:rsidR="00496662" w:rsidRPr="00573E1A" w:rsidRDefault="00496662" w:rsidP="00573E1A">
            <w:pPr>
              <w:jc w:val="both"/>
              <w:rPr>
                <w:sz w:val="16"/>
                <w:szCs w:val="16"/>
              </w:rPr>
            </w:pPr>
            <w:r w:rsidRPr="00573E1A">
              <w:rPr>
                <w:sz w:val="16"/>
                <w:szCs w:val="16"/>
              </w:rPr>
              <w:t>JULIO</w:t>
            </w:r>
          </w:p>
        </w:tc>
        <w:tc>
          <w:tcPr>
            <w:tcW w:w="773" w:type="dxa"/>
          </w:tcPr>
          <w:p w:rsidR="00496662" w:rsidRPr="00573E1A" w:rsidRDefault="00496662" w:rsidP="00573E1A">
            <w:pPr>
              <w:jc w:val="both"/>
              <w:rPr>
                <w:sz w:val="16"/>
                <w:szCs w:val="16"/>
              </w:rPr>
            </w:pPr>
            <w:r w:rsidRPr="00573E1A">
              <w:rPr>
                <w:sz w:val="16"/>
                <w:szCs w:val="16"/>
              </w:rPr>
              <w:t>AGOSTO</w:t>
            </w:r>
          </w:p>
        </w:tc>
        <w:tc>
          <w:tcPr>
            <w:tcW w:w="1036" w:type="dxa"/>
          </w:tcPr>
          <w:p w:rsidR="00496662" w:rsidRPr="00573E1A" w:rsidRDefault="00496662" w:rsidP="00573E1A">
            <w:pPr>
              <w:jc w:val="both"/>
              <w:rPr>
                <w:sz w:val="16"/>
                <w:szCs w:val="16"/>
              </w:rPr>
            </w:pPr>
            <w:r w:rsidRPr="00573E1A">
              <w:rPr>
                <w:sz w:val="16"/>
                <w:szCs w:val="16"/>
              </w:rPr>
              <w:t>SEPTIEMBRE</w:t>
            </w:r>
          </w:p>
        </w:tc>
        <w:tc>
          <w:tcPr>
            <w:tcW w:w="880" w:type="dxa"/>
          </w:tcPr>
          <w:p w:rsidR="00496662" w:rsidRPr="00573E1A" w:rsidRDefault="00496662" w:rsidP="00573E1A">
            <w:pPr>
              <w:jc w:val="both"/>
              <w:rPr>
                <w:sz w:val="16"/>
                <w:szCs w:val="16"/>
              </w:rPr>
            </w:pPr>
            <w:r w:rsidRPr="00573E1A">
              <w:rPr>
                <w:sz w:val="16"/>
                <w:szCs w:val="16"/>
              </w:rPr>
              <w:t>OCTUBRE</w:t>
            </w:r>
          </w:p>
        </w:tc>
        <w:tc>
          <w:tcPr>
            <w:tcW w:w="1067" w:type="dxa"/>
          </w:tcPr>
          <w:p w:rsidR="00496662" w:rsidRPr="00573E1A" w:rsidRDefault="00496662" w:rsidP="00573E1A">
            <w:pPr>
              <w:jc w:val="both"/>
              <w:rPr>
                <w:sz w:val="16"/>
                <w:szCs w:val="16"/>
              </w:rPr>
            </w:pPr>
            <w:r w:rsidRPr="00573E1A">
              <w:rPr>
                <w:sz w:val="16"/>
                <w:szCs w:val="16"/>
              </w:rPr>
              <w:t>NOVIEMBRE</w:t>
            </w:r>
          </w:p>
        </w:tc>
      </w:tr>
      <w:tr w:rsidR="00496662">
        <w:tc>
          <w:tcPr>
            <w:tcW w:w="1098" w:type="dxa"/>
          </w:tcPr>
          <w:p w:rsidR="00496662" w:rsidRPr="00573E1A" w:rsidRDefault="00496662" w:rsidP="00573E1A">
            <w:pPr>
              <w:jc w:val="both"/>
              <w:rPr>
                <w:sz w:val="16"/>
                <w:szCs w:val="16"/>
              </w:rPr>
            </w:pPr>
            <w:r w:rsidRPr="00573E1A">
              <w:rPr>
                <w:sz w:val="16"/>
                <w:szCs w:val="16"/>
              </w:rPr>
              <w:t>Puesta en marcha</w:t>
            </w:r>
          </w:p>
        </w:tc>
        <w:tc>
          <w:tcPr>
            <w:tcW w:w="1036" w:type="dxa"/>
            <w:shd w:val="clear" w:color="auto" w:fill="FFFF00"/>
          </w:tcPr>
          <w:p w:rsidR="00496662" w:rsidRDefault="00496662" w:rsidP="00573E1A">
            <w:pPr>
              <w:jc w:val="both"/>
            </w:pPr>
          </w:p>
        </w:tc>
        <w:tc>
          <w:tcPr>
            <w:tcW w:w="840" w:type="dxa"/>
            <w:shd w:val="clear" w:color="auto" w:fill="FFFF00"/>
          </w:tcPr>
          <w:p w:rsidR="00496662" w:rsidRDefault="00496662" w:rsidP="00573E1A">
            <w:pPr>
              <w:jc w:val="both"/>
            </w:pPr>
          </w:p>
        </w:tc>
        <w:tc>
          <w:tcPr>
            <w:tcW w:w="1024" w:type="dxa"/>
          </w:tcPr>
          <w:p w:rsidR="00496662" w:rsidRDefault="00496662" w:rsidP="00573E1A">
            <w:pPr>
              <w:jc w:val="both"/>
            </w:pPr>
          </w:p>
        </w:tc>
        <w:tc>
          <w:tcPr>
            <w:tcW w:w="948" w:type="dxa"/>
          </w:tcPr>
          <w:p w:rsidR="00496662" w:rsidRDefault="00496662" w:rsidP="00573E1A">
            <w:pPr>
              <w:jc w:val="both"/>
            </w:pPr>
          </w:p>
        </w:tc>
        <w:tc>
          <w:tcPr>
            <w:tcW w:w="669" w:type="dxa"/>
          </w:tcPr>
          <w:p w:rsidR="00496662" w:rsidRDefault="00496662" w:rsidP="00573E1A">
            <w:pPr>
              <w:jc w:val="both"/>
            </w:pPr>
          </w:p>
        </w:tc>
        <w:tc>
          <w:tcPr>
            <w:tcW w:w="825" w:type="dxa"/>
          </w:tcPr>
          <w:p w:rsidR="00496662" w:rsidRDefault="00496662" w:rsidP="00573E1A">
            <w:pPr>
              <w:jc w:val="both"/>
            </w:pPr>
          </w:p>
        </w:tc>
        <w:tc>
          <w:tcPr>
            <w:tcW w:w="719" w:type="dxa"/>
          </w:tcPr>
          <w:p w:rsidR="00496662" w:rsidRDefault="00496662" w:rsidP="00573E1A">
            <w:pPr>
              <w:jc w:val="both"/>
            </w:pPr>
          </w:p>
        </w:tc>
        <w:tc>
          <w:tcPr>
            <w:tcW w:w="591" w:type="dxa"/>
          </w:tcPr>
          <w:p w:rsidR="00496662" w:rsidRDefault="00496662" w:rsidP="00573E1A">
            <w:pPr>
              <w:jc w:val="both"/>
            </w:pPr>
          </w:p>
        </w:tc>
        <w:tc>
          <w:tcPr>
            <w:tcW w:w="660" w:type="dxa"/>
          </w:tcPr>
          <w:p w:rsidR="00496662" w:rsidRDefault="00496662" w:rsidP="00573E1A">
            <w:pPr>
              <w:jc w:val="both"/>
            </w:pPr>
          </w:p>
        </w:tc>
        <w:tc>
          <w:tcPr>
            <w:tcW w:w="620" w:type="dxa"/>
          </w:tcPr>
          <w:p w:rsidR="00496662" w:rsidRDefault="00496662" w:rsidP="00573E1A">
            <w:pPr>
              <w:jc w:val="both"/>
            </w:pPr>
          </w:p>
        </w:tc>
        <w:tc>
          <w:tcPr>
            <w:tcW w:w="627" w:type="dxa"/>
          </w:tcPr>
          <w:p w:rsidR="00496662" w:rsidRDefault="00496662" w:rsidP="00573E1A">
            <w:pPr>
              <w:jc w:val="both"/>
            </w:pPr>
          </w:p>
        </w:tc>
        <w:tc>
          <w:tcPr>
            <w:tcW w:w="773" w:type="dxa"/>
          </w:tcPr>
          <w:p w:rsidR="00496662" w:rsidRDefault="00496662" w:rsidP="00573E1A">
            <w:pPr>
              <w:jc w:val="both"/>
            </w:pPr>
          </w:p>
        </w:tc>
        <w:tc>
          <w:tcPr>
            <w:tcW w:w="1036" w:type="dxa"/>
          </w:tcPr>
          <w:p w:rsidR="00496662" w:rsidRDefault="00496662" w:rsidP="00573E1A">
            <w:pPr>
              <w:jc w:val="both"/>
            </w:pPr>
          </w:p>
        </w:tc>
        <w:tc>
          <w:tcPr>
            <w:tcW w:w="880" w:type="dxa"/>
          </w:tcPr>
          <w:p w:rsidR="00496662" w:rsidRDefault="00496662" w:rsidP="00573E1A">
            <w:pPr>
              <w:jc w:val="both"/>
            </w:pPr>
          </w:p>
        </w:tc>
        <w:tc>
          <w:tcPr>
            <w:tcW w:w="1067" w:type="dxa"/>
          </w:tcPr>
          <w:p w:rsidR="00496662" w:rsidRDefault="00496662" w:rsidP="00573E1A">
            <w:pPr>
              <w:jc w:val="both"/>
            </w:pPr>
          </w:p>
        </w:tc>
      </w:tr>
      <w:tr w:rsidR="00496662">
        <w:tc>
          <w:tcPr>
            <w:tcW w:w="1098" w:type="dxa"/>
          </w:tcPr>
          <w:p w:rsidR="00496662" w:rsidRPr="00573E1A" w:rsidRDefault="00496662" w:rsidP="00573E1A">
            <w:pPr>
              <w:jc w:val="both"/>
              <w:rPr>
                <w:sz w:val="16"/>
                <w:szCs w:val="16"/>
              </w:rPr>
            </w:pPr>
            <w:r w:rsidRPr="00573E1A">
              <w:rPr>
                <w:sz w:val="16"/>
                <w:szCs w:val="16"/>
              </w:rPr>
              <w:t>Identificación de buenas prácticas</w:t>
            </w:r>
          </w:p>
        </w:tc>
        <w:tc>
          <w:tcPr>
            <w:tcW w:w="1036" w:type="dxa"/>
          </w:tcPr>
          <w:p w:rsidR="00496662" w:rsidRDefault="00496662" w:rsidP="00573E1A">
            <w:pPr>
              <w:jc w:val="both"/>
            </w:pPr>
          </w:p>
        </w:tc>
        <w:tc>
          <w:tcPr>
            <w:tcW w:w="840" w:type="dxa"/>
            <w:shd w:val="clear" w:color="auto" w:fill="99CC00"/>
          </w:tcPr>
          <w:p w:rsidR="00496662" w:rsidRDefault="00496662" w:rsidP="00573E1A">
            <w:pPr>
              <w:jc w:val="both"/>
            </w:pPr>
          </w:p>
        </w:tc>
        <w:tc>
          <w:tcPr>
            <w:tcW w:w="1024" w:type="dxa"/>
            <w:shd w:val="clear" w:color="auto" w:fill="99CC00"/>
          </w:tcPr>
          <w:p w:rsidR="00496662" w:rsidRDefault="00496662" w:rsidP="00573E1A">
            <w:pPr>
              <w:jc w:val="both"/>
            </w:pPr>
          </w:p>
        </w:tc>
        <w:tc>
          <w:tcPr>
            <w:tcW w:w="948" w:type="dxa"/>
            <w:shd w:val="clear" w:color="auto" w:fill="99CC00"/>
          </w:tcPr>
          <w:p w:rsidR="00496662" w:rsidRDefault="00496662" w:rsidP="00573E1A">
            <w:pPr>
              <w:jc w:val="both"/>
            </w:pPr>
          </w:p>
        </w:tc>
        <w:tc>
          <w:tcPr>
            <w:tcW w:w="669" w:type="dxa"/>
            <w:shd w:val="clear" w:color="auto" w:fill="99CC00"/>
          </w:tcPr>
          <w:p w:rsidR="00496662" w:rsidRDefault="00496662" w:rsidP="00573E1A">
            <w:pPr>
              <w:jc w:val="both"/>
            </w:pPr>
          </w:p>
        </w:tc>
        <w:tc>
          <w:tcPr>
            <w:tcW w:w="825" w:type="dxa"/>
            <w:shd w:val="clear" w:color="auto" w:fill="99CC00"/>
          </w:tcPr>
          <w:p w:rsidR="00496662" w:rsidRDefault="00496662" w:rsidP="00573E1A">
            <w:pPr>
              <w:jc w:val="both"/>
            </w:pPr>
          </w:p>
        </w:tc>
        <w:tc>
          <w:tcPr>
            <w:tcW w:w="719" w:type="dxa"/>
            <w:shd w:val="clear" w:color="auto" w:fill="99CC00"/>
          </w:tcPr>
          <w:p w:rsidR="00496662" w:rsidRDefault="00496662" w:rsidP="00573E1A">
            <w:pPr>
              <w:jc w:val="both"/>
            </w:pPr>
          </w:p>
        </w:tc>
        <w:tc>
          <w:tcPr>
            <w:tcW w:w="591" w:type="dxa"/>
            <w:shd w:val="clear" w:color="auto" w:fill="99CC00"/>
          </w:tcPr>
          <w:p w:rsidR="00496662" w:rsidRDefault="00496662" w:rsidP="00573E1A">
            <w:pPr>
              <w:jc w:val="both"/>
            </w:pPr>
          </w:p>
        </w:tc>
        <w:tc>
          <w:tcPr>
            <w:tcW w:w="660" w:type="dxa"/>
            <w:shd w:val="clear" w:color="auto" w:fill="99CC00"/>
          </w:tcPr>
          <w:p w:rsidR="00496662" w:rsidRDefault="00496662" w:rsidP="00573E1A">
            <w:pPr>
              <w:jc w:val="both"/>
            </w:pPr>
          </w:p>
        </w:tc>
        <w:tc>
          <w:tcPr>
            <w:tcW w:w="620" w:type="dxa"/>
            <w:shd w:val="clear" w:color="auto" w:fill="99CC00"/>
          </w:tcPr>
          <w:p w:rsidR="00496662" w:rsidRDefault="00496662" w:rsidP="00573E1A">
            <w:pPr>
              <w:jc w:val="both"/>
            </w:pPr>
          </w:p>
        </w:tc>
        <w:tc>
          <w:tcPr>
            <w:tcW w:w="627" w:type="dxa"/>
            <w:shd w:val="clear" w:color="auto" w:fill="99CC00"/>
          </w:tcPr>
          <w:p w:rsidR="00496662" w:rsidRDefault="00496662" w:rsidP="00573E1A">
            <w:pPr>
              <w:jc w:val="both"/>
            </w:pPr>
          </w:p>
        </w:tc>
        <w:tc>
          <w:tcPr>
            <w:tcW w:w="773" w:type="dxa"/>
            <w:shd w:val="clear" w:color="auto" w:fill="99CC00"/>
          </w:tcPr>
          <w:p w:rsidR="00496662" w:rsidRDefault="00496662" w:rsidP="00573E1A">
            <w:pPr>
              <w:jc w:val="both"/>
            </w:pPr>
          </w:p>
        </w:tc>
        <w:tc>
          <w:tcPr>
            <w:tcW w:w="1036" w:type="dxa"/>
            <w:shd w:val="clear" w:color="auto" w:fill="99CC00"/>
          </w:tcPr>
          <w:p w:rsidR="00496662" w:rsidRDefault="00496662" w:rsidP="00573E1A">
            <w:pPr>
              <w:jc w:val="both"/>
            </w:pPr>
          </w:p>
        </w:tc>
        <w:tc>
          <w:tcPr>
            <w:tcW w:w="880" w:type="dxa"/>
            <w:shd w:val="clear" w:color="auto" w:fill="99CC00"/>
          </w:tcPr>
          <w:p w:rsidR="00496662" w:rsidRDefault="00496662" w:rsidP="00573E1A">
            <w:pPr>
              <w:jc w:val="both"/>
            </w:pPr>
          </w:p>
        </w:tc>
        <w:tc>
          <w:tcPr>
            <w:tcW w:w="1067" w:type="dxa"/>
          </w:tcPr>
          <w:p w:rsidR="00496662" w:rsidRDefault="00496662" w:rsidP="00573E1A">
            <w:pPr>
              <w:jc w:val="both"/>
            </w:pPr>
          </w:p>
        </w:tc>
      </w:tr>
      <w:tr w:rsidR="00496662">
        <w:tc>
          <w:tcPr>
            <w:tcW w:w="1098" w:type="dxa"/>
          </w:tcPr>
          <w:p w:rsidR="00496662" w:rsidRPr="00573E1A" w:rsidRDefault="00496662" w:rsidP="00573E1A">
            <w:pPr>
              <w:jc w:val="both"/>
              <w:rPr>
                <w:sz w:val="16"/>
                <w:szCs w:val="16"/>
              </w:rPr>
            </w:pPr>
            <w:r w:rsidRPr="00573E1A">
              <w:rPr>
                <w:sz w:val="16"/>
                <w:szCs w:val="16"/>
              </w:rPr>
              <w:t>Visitas de estudio</w:t>
            </w:r>
          </w:p>
        </w:tc>
        <w:tc>
          <w:tcPr>
            <w:tcW w:w="1036" w:type="dxa"/>
          </w:tcPr>
          <w:p w:rsidR="00496662" w:rsidRDefault="00496662" w:rsidP="00573E1A">
            <w:pPr>
              <w:jc w:val="both"/>
            </w:pPr>
          </w:p>
        </w:tc>
        <w:tc>
          <w:tcPr>
            <w:tcW w:w="840" w:type="dxa"/>
          </w:tcPr>
          <w:p w:rsidR="00496662" w:rsidRDefault="00496662" w:rsidP="00573E1A">
            <w:pPr>
              <w:jc w:val="both"/>
            </w:pPr>
          </w:p>
        </w:tc>
        <w:tc>
          <w:tcPr>
            <w:tcW w:w="1024" w:type="dxa"/>
            <w:shd w:val="clear" w:color="auto" w:fill="008000"/>
          </w:tcPr>
          <w:p w:rsidR="00496662" w:rsidRDefault="00496662" w:rsidP="00573E1A">
            <w:pPr>
              <w:jc w:val="both"/>
            </w:pPr>
          </w:p>
        </w:tc>
        <w:tc>
          <w:tcPr>
            <w:tcW w:w="948" w:type="dxa"/>
            <w:shd w:val="clear" w:color="auto" w:fill="008000"/>
          </w:tcPr>
          <w:p w:rsidR="00496662" w:rsidRDefault="00496662" w:rsidP="00573E1A">
            <w:pPr>
              <w:jc w:val="both"/>
            </w:pPr>
          </w:p>
        </w:tc>
        <w:tc>
          <w:tcPr>
            <w:tcW w:w="669" w:type="dxa"/>
            <w:shd w:val="clear" w:color="auto" w:fill="008000"/>
          </w:tcPr>
          <w:p w:rsidR="00496662" w:rsidRDefault="00496662" w:rsidP="00573E1A">
            <w:pPr>
              <w:jc w:val="both"/>
            </w:pPr>
          </w:p>
        </w:tc>
        <w:tc>
          <w:tcPr>
            <w:tcW w:w="825" w:type="dxa"/>
            <w:shd w:val="clear" w:color="auto" w:fill="008000"/>
          </w:tcPr>
          <w:p w:rsidR="00496662" w:rsidRDefault="00496662" w:rsidP="00573E1A">
            <w:pPr>
              <w:jc w:val="both"/>
            </w:pPr>
          </w:p>
        </w:tc>
        <w:tc>
          <w:tcPr>
            <w:tcW w:w="719" w:type="dxa"/>
            <w:shd w:val="clear" w:color="auto" w:fill="008000"/>
          </w:tcPr>
          <w:p w:rsidR="00496662" w:rsidRDefault="00496662" w:rsidP="00573E1A">
            <w:pPr>
              <w:jc w:val="both"/>
            </w:pPr>
          </w:p>
        </w:tc>
        <w:tc>
          <w:tcPr>
            <w:tcW w:w="591" w:type="dxa"/>
            <w:shd w:val="clear" w:color="auto" w:fill="008000"/>
          </w:tcPr>
          <w:p w:rsidR="00496662" w:rsidRDefault="00496662" w:rsidP="00573E1A">
            <w:pPr>
              <w:jc w:val="both"/>
            </w:pPr>
          </w:p>
        </w:tc>
        <w:tc>
          <w:tcPr>
            <w:tcW w:w="660" w:type="dxa"/>
            <w:shd w:val="clear" w:color="auto" w:fill="008000"/>
          </w:tcPr>
          <w:p w:rsidR="00496662" w:rsidRDefault="00496662" w:rsidP="00573E1A">
            <w:pPr>
              <w:jc w:val="both"/>
            </w:pPr>
          </w:p>
        </w:tc>
        <w:tc>
          <w:tcPr>
            <w:tcW w:w="620" w:type="dxa"/>
          </w:tcPr>
          <w:p w:rsidR="00496662" w:rsidRDefault="00496662" w:rsidP="00573E1A">
            <w:pPr>
              <w:jc w:val="both"/>
            </w:pPr>
          </w:p>
        </w:tc>
        <w:tc>
          <w:tcPr>
            <w:tcW w:w="627" w:type="dxa"/>
          </w:tcPr>
          <w:p w:rsidR="00496662" w:rsidRDefault="00496662" w:rsidP="00573E1A">
            <w:pPr>
              <w:jc w:val="both"/>
            </w:pPr>
          </w:p>
        </w:tc>
        <w:tc>
          <w:tcPr>
            <w:tcW w:w="773" w:type="dxa"/>
          </w:tcPr>
          <w:p w:rsidR="00496662" w:rsidRDefault="00496662" w:rsidP="00573E1A">
            <w:pPr>
              <w:jc w:val="both"/>
            </w:pPr>
          </w:p>
        </w:tc>
        <w:tc>
          <w:tcPr>
            <w:tcW w:w="1036" w:type="dxa"/>
          </w:tcPr>
          <w:p w:rsidR="00496662" w:rsidRDefault="00496662" w:rsidP="00573E1A">
            <w:pPr>
              <w:jc w:val="both"/>
            </w:pPr>
          </w:p>
        </w:tc>
        <w:tc>
          <w:tcPr>
            <w:tcW w:w="880" w:type="dxa"/>
          </w:tcPr>
          <w:p w:rsidR="00496662" w:rsidRDefault="00496662" w:rsidP="00573E1A">
            <w:pPr>
              <w:jc w:val="both"/>
            </w:pPr>
          </w:p>
        </w:tc>
        <w:tc>
          <w:tcPr>
            <w:tcW w:w="1067" w:type="dxa"/>
          </w:tcPr>
          <w:p w:rsidR="00496662" w:rsidRDefault="00496662" w:rsidP="00573E1A">
            <w:pPr>
              <w:jc w:val="both"/>
            </w:pPr>
          </w:p>
        </w:tc>
      </w:tr>
      <w:tr w:rsidR="00496662">
        <w:tc>
          <w:tcPr>
            <w:tcW w:w="1098" w:type="dxa"/>
          </w:tcPr>
          <w:p w:rsidR="00496662" w:rsidRPr="00573E1A" w:rsidRDefault="00496662" w:rsidP="00573E1A">
            <w:pPr>
              <w:jc w:val="both"/>
              <w:rPr>
                <w:sz w:val="16"/>
                <w:szCs w:val="16"/>
              </w:rPr>
            </w:pPr>
            <w:r w:rsidRPr="00573E1A">
              <w:rPr>
                <w:sz w:val="16"/>
                <w:szCs w:val="16"/>
              </w:rPr>
              <w:t>Movilidades de formadores</w:t>
            </w:r>
          </w:p>
        </w:tc>
        <w:tc>
          <w:tcPr>
            <w:tcW w:w="1036" w:type="dxa"/>
          </w:tcPr>
          <w:p w:rsidR="00496662" w:rsidRDefault="00496662" w:rsidP="00573E1A">
            <w:pPr>
              <w:jc w:val="both"/>
            </w:pPr>
          </w:p>
        </w:tc>
        <w:tc>
          <w:tcPr>
            <w:tcW w:w="840" w:type="dxa"/>
          </w:tcPr>
          <w:p w:rsidR="00496662" w:rsidRDefault="00496662" w:rsidP="00573E1A">
            <w:pPr>
              <w:jc w:val="both"/>
            </w:pPr>
          </w:p>
        </w:tc>
        <w:tc>
          <w:tcPr>
            <w:tcW w:w="1024" w:type="dxa"/>
          </w:tcPr>
          <w:p w:rsidR="00496662" w:rsidRDefault="00496662" w:rsidP="00573E1A">
            <w:pPr>
              <w:jc w:val="both"/>
            </w:pPr>
          </w:p>
        </w:tc>
        <w:tc>
          <w:tcPr>
            <w:tcW w:w="948" w:type="dxa"/>
            <w:shd w:val="clear" w:color="auto" w:fill="FF00FF"/>
          </w:tcPr>
          <w:p w:rsidR="00496662" w:rsidRDefault="00496662" w:rsidP="00573E1A">
            <w:pPr>
              <w:jc w:val="both"/>
            </w:pPr>
          </w:p>
        </w:tc>
        <w:tc>
          <w:tcPr>
            <w:tcW w:w="669" w:type="dxa"/>
            <w:shd w:val="clear" w:color="auto" w:fill="FF00FF"/>
          </w:tcPr>
          <w:p w:rsidR="00496662" w:rsidRDefault="00496662" w:rsidP="00573E1A">
            <w:pPr>
              <w:jc w:val="both"/>
            </w:pPr>
          </w:p>
        </w:tc>
        <w:tc>
          <w:tcPr>
            <w:tcW w:w="825" w:type="dxa"/>
            <w:shd w:val="clear" w:color="auto" w:fill="FF00FF"/>
          </w:tcPr>
          <w:p w:rsidR="00496662" w:rsidRDefault="00496662" w:rsidP="00573E1A">
            <w:pPr>
              <w:jc w:val="both"/>
            </w:pPr>
          </w:p>
        </w:tc>
        <w:tc>
          <w:tcPr>
            <w:tcW w:w="719" w:type="dxa"/>
            <w:shd w:val="clear" w:color="auto" w:fill="FF00FF"/>
          </w:tcPr>
          <w:p w:rsidR="00496662" w:rsidRDefault="00496662" w:rsidP="00573E1A">
            <w:pPr>
              <w:jc w:val="both"/>
            </w:pPr>
          </w:p>
        </w:tc>
        <w:tc>
          <w:tcPr>
            <w:tcW w:w="591" w:type="dxa"/>
            <w:shd w:val="clear" w:color="auto" w:fill="FF00FF"/>
          </w:tcPr>
          <w:p w:rsidR="00496662" w:rsidRDefault="00496662" w:rsidP="00573E1A">
            <w:pPr>
              <w:jc w:val="both"/>
            </w:pPr>
          </w:p>
        </w:tc>
        <w:tc>
          <w:tcPr>
            <w:tcW w:w="660" w:type="dxa"/>
            <w:shd w:val="clear" w:color="auto" w:fill="FF00FF"/>
          </w:tcPr>
          <w:p w:rsidR="00496662" w:rsidRDefault="00496662" w:rsidP="00573E1A">
            <w:pPr>
              <w:jc w:val="both"/>
            </w:pPr>
          </w:p>
        </w:tc>
        <w:tc>
          <w:tcPr>
            <w:tcW w:w="620" w:type="dxa"/>
            <w:shd w:val="clear" w:color="auto" w:fill="FF00FF"/>
          </w:tcPr>
          <w:p w:rsidR="00496662" w:rsidRDefault="00496662" w:rsidP="00573E1A">
            <w:pPr>
              <w:jc w:val="both"/>
            </w:pPr>
          </w:p>
        </w:tc>
        <w:tc>
          <w:tcPr>
            <w:tcW w:w="627" w:type="dxa"/>
            <w:shd w:val="clear" w:color="auto" w:fill="FF00FF"/>
          </w:tcPr>
          <w:p w:rsidR="00496662" w:rsidRDefault="00496662" w:rsidP="00573E1A">
            <w:pPr>
              <w:jc w:val="both"/>
            </w:pPr>
          </w:p>
        </w:tc>
        <w:tc>
          <w:tcPr>
            <w:tcW w:w="773" w:type="dxa"/>
            <w:shd w:val="clear" w:color="auto" w:fill="FF00FF"/>
          </w:tcPr>
          <w:p w:rsidR="00496662" w:rsidRDefault="00496662" w:rsidP="00573E1A">
            <w:pPr>
              <w:jc w:val="both"/>
            </w:pPr>
          </w:p>
        </w:tc>
        <w:tc>
          <w:tcPr>
            <w:tcW w:w="1036" w:type="dxa"/>
            <w:shd w:val="clear" w:color="auto" w:fill="FF00FF"/>
          </w:tcPr>
          <w:p w:rsidR="00496662" w:rsidRDefault="00496662" w:rsidP="00573E1A">
            <w:pPr>
              <w:jc w:val="both"/>
            </w:pPr>
          </w:p>
        </w:tc>
        <w:tc>
          <w:tcPr>
            <w:tcW w:w="880" w:type="dxa"/>
            <w:shd w:val="clear" w:color="auto" w:fill="FF00FF"/>
          </w:tcPr>
          <w:p w:rsidR="00496662" w:rsidRDefault="00496662" w:rsidP="00573E1A">
            <w:pPr>
              <w:jc w:val="both"/>
            </w:pPr>
          </w:p>
        </w:tc>
        <w:tc>
          <w:tcPr>
            <w:tcW w:w="1067" w:type="dxa"/>
          </w:tcPr>
          <w:p w:rsidR="00496662" w:rsidRDefault="00496662" w:rsidP="00573E1A">
            <w:pPr>
              <w:jc w:val="both"/>
            </w:pPr>
          </w:p>
        </w:tc>
      </w:tr>
      <w:tr w:rsidR="00496662">
        <w:tc>
          <w:tcPr>
            <w:tcW w:w="1098" w:type="dxa"/>
          </w:tcPr>
          <w:p w:rsidR="00496662" w:rsidRPr="00573E1A" w:rsidRDefault="00496662" w:rsidP="00573E1A">
            <w:pPr>
              <w:jc w:val="both"/>
              <w:rPr>
                <w:sz w:val="16"/>
                <w:szCs w:val="16"/>
              </w:rPr>
            </w:pPr>
            <w:r w:rsidRPr="00573E1A">
              <w:rPr>
                <w:sz w:val="16"/>
                <w:szCs w:val="16"/>
              </w:rPr>
              <w:t>Reuniones de trabajo</w:t>
            </w:r>
          </w:p>
        </w:tc>
        <w:tc>
          <w:tcPr>
            <w:tcW w:w="1036" w:type="dxa"/>
          </w:tcPr>
          <w:p w:rsidR="00496662" w:rsidRDefault="00496662" w:rsidP="00573E1A">
            <w:pPr>
              <w:jc w:val="both"/>
            </w:pPr>
          </w:p>
        </w:tc>
        <w:tc>
          <w:tcPr>
            <w:tcW w:w="840" w:type="dxa"/>
          </w:tcPr>
          <w:p w:rsidR="00496662" w:rsidRDefault="00496662" w:rsidP="00573E1A">
            <w:pPr>
              <w:jc w:val="both"/>
            </w:pPr>
          </w:p>
        </w:tc>
        <w:tc>
          <w:tcPr>
            <w:tcW w:w="1024" w:type="dxa"/>
          </w:tcPr>
          <w:p w:rsidR="00496662" w:rsidRDefault="00496662" w:rsidP="00573E1A">
            <w:pPr>
              <w:jc w:val="both"/>
            </w:pPr>
          </w:p>
        </w:tc>
        <w:tc>
          <w:tcPr>
            <w:tcW w:w="948" w:type="dxa"/>
          </w:tcPr>
          <w:p w:rsidR="00496662" w:rsidRDefault="00496662" w:rsidP="00573E1A">
            <w:pPr>
              <w:jc w:val="both"/>
            </w:pPr>
          </w:p>
        </w:tc>
        <w:tc>
          <w:tcPr>
            <w:tcW w:w="669" w:type="dxa"/>
          </w:tcPr>
          <w:p w:rsidR="00496662" w:rsidRDefault="00496662" w:rsidP="00573E1A">
            <w:pPr>
              <w:jc w:val="both"/>
            </w:pPr>
          </w:p>
        </w:tc>
        <w:tc>
          <w:tcPr>
            <w:tcW w:w="825" w:type="dxa"/>
            <w:shd w:val="clear" w:color="auto" w:fill="993366"/>
          </w:tcPr>
          <w:p w:rsidR="00496662" w:rsidRDefault="00496662" w:rsidP="00573E1A">
            <w:pPr>
              <w:jc w:val="both"/>
            </w:pPr>
          </w:p>
        </w:tc>
        <w:tc>
          <w:tcPr>
            <w:tcW w:w="719" w:type="dxa"/>
          </w:tcPr>
          <w:p w:rsidR="00496662" w:rsidRDefault="00496662" w:rsidP="00573E1A">
            <w:pPr>
              <w:jc w:val="both"/>
            </w:pPr>
          </w:p>
        </w:tc>
        <w:tc>
          <w:tcPr>
            <w:tcW w:w="591" w:type="dxa"/>
          </w:tcPr>
          <w:p w:rsidR="00496662" w:rsidRDefault="00496662" w:rsidP="00573E1A">
            <w:pPr>
              <w:jc w:val="both"/>
            </w:pPr>
          </w:p>
        </w:tc>
        <w:tc>
          <w:tcPr>
            <w:tcW w:w="660" w:type="dxa"/>
          </w:tcPr>
          <w:p w:rsidR="00496662" w:rsidRDefault="00496662" w:rsidP="00573E1A">
            <w:pPr>
              <w:jc w:val="both"/>
            </w:pPr>
          </w:p>
        </w:tc>
        <w:tc>
          <w:tcPr>
            <w:tcW w:w="620" w:type="dxa"/>
          </w:tcPr>
          <w:p w:rsidR="00496662" w:rsidRDefault="00496662" w:rsidP="00573E1A">
            <w:pPr>
              <w:jc w:val="both"/>
            </w:pPr>
          </w:p>
        </w:tc>
        <w:tc>
          <w:tcPr>
            <w:tcW w:w="627" w:type="dxa"/>
          </w:tcPr>
          <w:p w:rsidR="00496662" w:rsidRDefault="00496662" w:rsidP="00573E1A">
            <w:pPr>
              <w:jc w:val="both"/>
            </w:pPr>
          </w:p>
        </w:tc>
        <w:tc>
          <w:tcPr>
            <w:tcW w:w="773" w:type="dxa"/>
          </w:tcPr>
          <w:p w:rsidR="00496662" w:rsidRDefault="00496662" w:rsidP="00573E1A">
            <w:pPr>
              <w:jc w:val="both"/>
            </w:pPr>
          </w:p>
        </w:tc>
        <w:tc>
          <w:tcPr>
            <w:tcW w:w="1036" w:type="dxa"/>
          </w:tcPr>
          <w:p w:rsidR="00496662" w:rsidRDefault="00496662" w:rsidP="00573E1A">
            <w:pPr>
              <w:jc w:val="both"/>
            </w:pPr>
          </w:p>
        </w:tc>
        <w:tc>
          <w:tcPr>
            <w:tcW w:w="880" w:type="dxa"/>
            <w:shd w:val="clear" w:color="auto" w:fill="993366"/>
          </w:tcPr>
          <w:p w:rsidR="00496662" w:rsidRDefault="00496662" w:rsidP="00573E1A">
            <w:pPr>
              <w:jc w:val="both"/>
            </w:pPr>
          </w:p>
        </w:tc>
        <w:tc>
          <w:tcPr>
            <w:tcW w:w="1067" w:type="dxa"/>
          </w:tcPr>
          <w:p w:rsidR="00496662" w:rsidRDefault="00496662" w:rsidP="00573E1A">
            <w:pPr>
              <w:jc w:val="both"/>
            </w:pPr>
          </w:p>
        </w:tc>
      </w:tr>
      <w:tr w:rsidR="00496662">
        <w:tc>
          <w:tcPr>
            <w:tcW w:w="1098" w:type="dxa"/>
          </w:tcPr>
          <w:p w:rsidR="00496662" w:rsidRPr="00573E1A" w:rsidRDefault="00496662" w:rsidP="00573E1A">
            <w:pPr>
              <w:jc w:val="both"/>
              <w:rPr>
                <w:sz w:val="16"/>
                <w:szCs w:val="16"/>
              </w:rPr>
            </w:pPr>
            <w:r w:rsidRPr="00573E1A">
              <w:rPr>
                <w:sz w:val="16"/>
                <w:szCs w:val="16"/>
              </w:rPr>
              <w:t>Seminarios de transferencia</w:t>
            </w:r>
          </w:p>
        </w:tc>
        <w:tc>
          <w:tcPr>
            <w:tcW w:w="1036" w:type="dxa"/>
          </w:tcPr>
          <w:p w:rsidR="00496662" w:rsidRDefault="00496662" w:rsidP="00573E1A">
            <w:pPr>
              <w:jc w:val="both"/>
            </w:pPr>
          </w:p>
        </w:tc>
        <w:tc>
          <w:tcPr>
            <w:tcW w:w="840" w:type="dxa"/>
          </w:tcPr>
          <w:p w:rsidR="00496662" w:rsidRDefault="00496662" w:rsidP="00573E1A">
            <w:pPr>
              <w:jc w:val="both"/>
            </w:pPr>
          </w:p>
        </w:tc>
        <w:tc>
          <w:tcPr>
            <w:tcW w:w="1024" w:type="dxa"/>
          </w:tcPr>
          <w:p w:rsidR="00496662" w:rsidRDefault="00496662" w:rsidP="00573E1A">
            <w:pPr>
              <w:jc w:val="both"/>
            </w:pPr>
          </w:p>
        </w:tc>
        <w:tc>
          <w:tcPr>
            <w:tcW w:w="948" w:type="dxa"/>
          </w:tcPr>
          <w:p w:rsidR="00496662" w:rsidRDefault="00496662" w:rsidP="00573E1A">
            <w:pPr>
              <w:jc w:val="both"/>
            </w:pPr>
          </w:p>
        </w:tc>
        <w:tc>
          <w:tcPr>
            <w:tcW w:w="669" w:type="dxa"/>
          </w:tcPr>
          <w:p w:rsidR="00496662" w:rsidRDefault="00496662" w:rsidP="00573E1A">
            <w:pPr>
              <w:jc w:val="both"/>
            </w:pPr>
          </w:p>
        </w:tc>
        <w:tc>
          <w:tcPr>
            <w:tcW w:w="825" w:type="dxa"/>
            <w:shd w:val="clear" w:color="auto" w:fill="3366FF"/>
          </w:tcPr>
          <w:p w:rsidR="00496662" w:rsidRDefault="00496662" w:rsidP="00573E1A">
            <w:pPr>
              <w:jc w:val="both"/>
            </w:pPr>
          </w:p>
        </w:tc>
        <w:tc>
          <w:tcPr>
            <w:tcW w:w="719" w:type="dxa"/>
          </w:tcPr>
          <w:p w:rsidR="00496662" w:rsidRDefault="00496662" w:rsidP="00573E1A">
            <w:pPr>
              <w:jc w:val="both"/>
            </w:pPr>
          </w:p>
        </w:tc>
        <w:tc>
          <w:tcPr>
            <w:tcW w:w="591" w:type="dxa"/>
          </w:tcPr>
          <w:p w:rsidR="00496662" w:rsidRDefault="00496662" w:rsidP="00573E1A">
            <w:pPr>
              <w:jc w:val="both"/>
            </w:pPr>
          </w:p>
        </w:tc>
        <w:tc>
          <w:tcPr>
            <w:tcW w:w="660" w:type="dxa"/>
          </w:tcPr>
          <w:p w:rsidR="00496662" w:rsidRDefault="00496662" w:rsidP="00573E1A">
            <w:pPr>
              <w:jc w:val="both"/>
            </w:pPr>
          </w:p>
        </w:tc>
        <w:tc>
          <w:tcPr>
            <w:tcW w:w="620" w:type="dxa"/>
          </w:tcPr>
          <w:p w:rsidR="00496662" w:rsidRDefault="00496662" w:rsidP="00573E1A">
            <w:pPr>
              <w:jc w:val="both"/>
            </w:pPr>
          </w:p>
        </w:tc>
        <w:tc>
          <w:tcPr>
            <w:tcW w:w="627" w:type="dxa"/>
          </w:tcPr>
          <w:p w:rsidR="00496662" w:rsidRDefault="00496662" w:rsidP="00573E1A">
            <w:pPr>
              <w:jc w:val="both"/>
            </w:pPr>
          </w:p>
        </w:tc>
        <w:tc>
          <w:tcPr>
            <w:tcW w:w="773" w:type="dxa"/>
          </w:tcPr>
          <w:p w:rsidR="00496662" w:rsidRDefault="00496662" w:rsidP="00573E1A">
            <w:pPr>
              <w:jc w:val="both"/>
            </w:pPr>
          </w:p>
        </w:tc>
        <w:tc>
          <w:tcPr>
            <w:tcW w:w="1036" w:type="dxa"/>
          </w:tcPr>
          <w:p w:rsidR="00496662" w:rsidRDefault="00496662" w:rsidP="00573E1A">
            <w:pPr>
              <w:jc w:val="both"/>
            </w:pPr>
          </w:p>
        </w:tc>
        <w:tc>
          <w:tcPr>
            <w:tcW w:w="880" w:type="dxa"/>
            <w:shd w:val="clear" w:color="auto" w:fill="3366FF"/>
          </w:tcPr>
          <w:p w:rsidR="00496662" w:rsidRDefault="00496662" w:rsidP="00573E1A">
            <w:pPr>
              <w:jc w:val="both"/>
            </w:pPr>
          </w:p>
        </w:tc>
        <w:tc>
          <w:tcPr>
            <w:tcW w:w="1067" w:type="dxa"/>
          </w:tcPr>
          <w:p w:rsidR="00496662" w:rsidRDefault="00496662" w:rsidP="00573E1A">
            <w:pPr>
              <w:jc w:val="both"/>
            </w:pPr>
          </w:p>
        </w:tc>
      </w:tr>
      <w:tr w:rsidR="00496662">
        <w:tc>
          <w:tcPr>
            <w:tcW w:w="1098" w:type="dxa"/>
          </w:tcPr>
          <w:p w:rsidR="00496662" w:rsidRPr="00573E1A" w:rsidRDefault="00496662" w:rsidP="00573E1A">
            <w:pPr>
              <w:jc w:val="both"/>
              <w:rPr>
                <w:sz w:val="16"/>
                <w:szCs w:val="16"/>
              </w:rPr>
            </w:pPr>
            <w:r w:rsidRPr="00573E1A">
              <w:rPr>
                <w:sz w:val="16"/>
                <w:szCs w:val="16"/>
              </w:rPr>
              <w:t>Clausura proyecto</w:t>
            </w:r>
          </w:p>
        </w:tc>
        <w:tc>
          <w:tcPr>
            <w:tcW w:w="1036" w:type="dxa"/>
          </w:tcPr>
          <w:p w:rsidR="00496662" w:rsidRDefault="00496662" w:rsidP="00573E1A">
            <w:pPr>
              <w:jc w:val="both"/>
            </w:pPr>
          </w:p>
        </w:tc>
        <w:tc>
          <w:tcPr>
            <w:tcW w:w="840" w:type="dxa"/>
          </w:tcPr>
          <w:p w:rsidR="00496662" w:rsidRDefault="00496662" w:rsidP="00573E1A">
            <w:pPr>
              <w:jc w:val="both"/>
            </w:pPr>
          </w:p>
        </w:tc>
        <w:tc>
          <w:tcPr>
            <w:tcW w:w="1024" w:type="dxa"/>
          </w:tcPr>
          <w:p w:rsidR="00496662" w:rsidRDefault="00496662" w:rsidP="00573E1A">
            <w:pPr>
              <w:jc w:val="both"/>
            </w:pPr>
          </w:p>
        </w:tc>
        <w:tc>
          <w:tcPr>
            <w:tcW w:w="948" w:type="dxa"/>
          </w:tcPr>
          <w:p w:rsidR="00496662" w:rsidRDefault="00496662" w:rsidP="00573E1A">
            <w:pPr>
              <w:jc w:val="both"/>
            </w:pPr>
          </w:p>
        </w:tc>
        <w:tc>
          <w:tcPr>
            <w:tcW w:w="669" w:type="dxa"/>
          </w:tcPr>
          <w:p w:rsidR="00496662" w:rsidRDefault="00496662" w:rsidP="00573E1A">
            <w:pPr>
              <w:jc w:val="both"/>
            </w:pPr>
          </w:p>
        </w:tc>
        <w:tc>
          <w:tcPr>
            <w:tcW w:w="825" w:type="dxa"/>
          </w:tcPr>
          <w:p w:rsidR="00496662" w:rsidRDefault="00496662" w:rsidP="00573E1A">
            <w:pPr>
              <w:jc w:val="both"/>
            </w:pPr>
          </w:p>
        </w:tc>
        <w:tc>
          <w:tcPr>
            <w:tcW w:w="719" w:type="dxa"/>
          </w:tcPr>
          <w:p w:rsidR="00496662" w:rsidRDefault="00496662" w:rsidP="00573E1A">
            <w:pPr>
              <w:jc w:val="both"/>
            </w:pPr>
          </w:p>
        </w:tc>
        <w:tc>
          <w:tcPr>
            <w:tcW w:w="591" w:type="dxa"/>
          </w:tcPr>
          <w:p w:rsidR="00496662" w:rsidRDefault="00496662" w:rsidP="00573E1A">
            <w:pPr>
              <w:jc w:val="both"/>
            </w:pPr>
          </w:p>
        </w:tc>
        <w:tc>
          <w:tcPr>
            <w:tcW w:w="660" w:type="dxa"/>
          </w:tcPr>
          <w:p w:rsidR="00496662" w:rsidRDefault="00496662" w:rsidP="00573E1A">
            <w:pPr>
              <w:jc w:val="both"/>
            </w:pPr>
          </w:p>
        </w:tc>
        <w:tc>
          <w:tcPr>
            <w:tcW w:w="620" w:type="dxa"/>
          </w:tcPr>
          <w:p w:rsidR="00496662" w:rsidRDefault="00496662" w:rsidP="00573E1A">
            <w:pPr>
              <w:jc w:val="both"/>
            </w:pPr>
          </w:p>
        </w:tc>
        <w:tc>
          <w:tcPr>
            <w:tcW w:w="627" w:type="dxa"/>
          </w:tcPr>
          <w:p w:rsidR="00496662" w:rsidRDefault="00496662" w:rsidP="00573E1A">
            <w:pPr>
              <w:jc w:val="both"/>
            </w:pPr>
          </w:p>
        </w:tc>
        <w:tc>
          <w:tcPr>
            <w:tcW w:w="773" w:type="dxa"/>
          </w:tcPr>
          <w:p w:rsidR="00496662" w:rsidRDefault="00496662" w:rsidP="00573E1A">
            <w:pPr>
              <w:jc w:val="both"/>
            </w:pPr>
          </w:p>
        </w:tc>
        <w:tc>
          <w:tcPr>
            <w:tcW w:w="1036" w:type="dxa"/>
          </w:tcPr>
          <w:p w:rsidR="00496662" w:rsidRDefault="00496662" w:rsidP="00573E1A">
            <w:pPr>
              <w:jc w:val="both"/>
            </w:pPr>
          </w:p>
        </w:tc>
        <w:tc>
          <w:tcPr>
            <w:tcW w:w="880" w:type="dxa"/>
          </w:tcPr>
          <w:p w:rsidR="00496662" w:rsidRDefault="00496662" w:rsidP="00573E1A">
            <w:pPr>
              <w:jc w:val="both"/>
            </w:pPr>
          </w:p>
        </w:tc>
        <w:tc>
          <w:tcPr>
            <w:tcW w:w="1067" w:type="dxa"/>
            <w:shd w:val="clear" w:color="auto" w:fill="000080"/>
          </w:tcPr>
          <w:p w:rsidR="00496662" w:rsidRDefault="00496662" w:rsidP="00573E1A">
            <w:pPr>
              <w:jc w:val="both"/>
            </w:pPr>
          </w:p>
        </w:tc>
      </w:tr>
    </w:tbl>
    <w:p w:rsidR="00496662" w:rsidRDefault="00496662" w:rsidP="00CA5FAC">
      <w:pPr>
        <w:jc w:val="both"/>
      </w:pPr>
    </w:p>
    <w:p w:rsidR="00496662" w:rsidRPr="0031509D" w:rsidRDefault="00496662" w:rsidP="00CA5FAC">
      <w:pPr>
        <w:jc w:val="both"/>
      </w:pPr>
    </w:p>
    <w:sectPr w:rsidR="00496662" w:rsidRPr="0031509D" w:rsidSect="00234375">
      <w:pgSz w:w="16838" w:h="11906" w:orient="landscape"/>
      <w:pgMar w:top="1701"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662" w:rsidRDefault="00496662" w:rsidP="009F2EE4">
      <w:pPr>
        <w:spacing w:after="0" w:line="240" w:lineRule="auto"/>
      </w:pPr>
      <w:r>
        <w:separator/>
      </w:r>
    </w:p>
  </w:endnote>
  <w:endnote w:type="continuationSeparator" w:id="1">
    <w:p w:rsidR="00496662" w:rsidRDefault="00496662" w:rsidP="009F2E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662" w:rsidRPr="00CA2F56" w:rsidRDefault="00496662">
    <w:pPr>
      <w:pStyle w:val="Footer"/>
    </w:pPr>
    <w:r w:rsidRPr="00CA2F5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7.5pt;height:34.5pt">
          <v:imagedata r:id="rId1" o:title=""/>
        </v:shape>
      </w:pict>
    </w:r>
    <w:r>
      <w:t xml:space="preserve"> </w:t>
    </w:r>
    <w:r w:rsidRPr="00CA2F56">
      <w:pict>
        <v:shape id="_x0000_i1032" type="#_x0000_t75" style="width:81pt;height:36pt">
          <v:imagedata r:id="rId2" o:title=""/>
        </v:shape>
      </w:pict>
    </w:r>
    <w:r>
      <w:t xml:space="preserve"> </w:t>
    </w:r>
    <w:r w:rsidRPr="00CA2F56">
      <w:pict>
        <v:shape id="_x0000_i1033" type="#_x0000_t75" style="width:122.25pt;height:33pt">
          <v:imagedata r:id="rId3" o:title=""/>
        </v:shape>
      </w:pict>
    </w:r>
    <w:r>
      <w:t xml:space="preserve">     </w:t>
    </w:r>
    <w:r w:rsidRPr="00CA2F56">
      <w:pict>
        <v:shape id="_x0000_i1034" type="#_x0000_t75" style="width:96.75pt;height:24.75pt">
          <v:imagedata r:id="rId4"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662" w:rsidRDefault="00496662" w:rsidP="009F2EE4">
      <w:pPr>
        <w:spacing w:after="0" w:line="240" w:lineRule="auto"/>
      </w:pPr>
      <w:r>
        <w:separator/>
      </w:r>
    </w:p>
  </w:footnote>
  <w:footnote w:type="continuationSeparator" w:id="1">
    <w:p w:rsidR="00496662" w:rsidRDefault="00496662" w:rsidP="009F2E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662" w:rsidRDefault="00496662" w:rsidP="00CA2F56">
    <w:pPr>
      <w:pStyle w:val="Header"/>
      <w:jc w:val="cente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alt="logo.jpg" style="width:113.25pt;height:46.5pt;visibility:visible" o:bordertopcolor="#984807" o:borderleftcolor="#984807" o:borderbottomcolor="#984807" o:borderrightcolor="#984807">
          <v:imagedata r:id="rId1" o:title=""/>
          <w10:bordertop type="single" width="16"/>
          <w10:borderleft type="single" width="16"/>
          <w10:borderbottom type="single" width="16"/>
          <w10:borderright type="single" width="16"/>
        </v:shape>
      </w:pict>
    </w:r>
  </w:p>
  <w:p w:rsidR="00496662" w:rsidRDefault="004966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54A8A"/>
    <w:multiLevelType w:val="hybridMultilevel"/>
    <w:tmpl w:val="A3047C02"/>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4D197CC2"/>
    <w:multiLevelType w:val="hybridMultilevel"/>
    <w:tmpl w:val="CD12C78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
    <w:nsid w:val="7A5B584F"/>
    <w:multiLevelType w:val="hybridMultilevel"/>
    <w:tmpl w:val="F79CAB4A"/>
    <w:lvl w:ilvl="0" w:tplc="D366A1AE">
      <w:start w:val="1"/>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3718"/>
    <w:rsid w:val="00067195"/>
    <w:rsid w:val="000A09CE"/>
    <w:rsid w:val="000F2E35"/>
    <w:rsid w:val="00107642"/>
    <w:rsid w:val="00111233"/>
    <w:rsid w:val="0011533F"/>
    <w:rsid w:val="001E01C8"/>
    <w:rsid w:val="00234375"/>
    <w:rsid w:val="002650F6"/>
    <w:rsid w:val="002A39BD"/>
    <w:rsid w:val="00303718"/>
    <w:rsid w:val="0031509D"/>
    <w:rsid w:val="003D7E02"/>
    <w:rsid w:val="003E0DDF"/>
    <w:rsid w:val="004048CC"/>
    <w:rsid w:val="00471917"/>
    <w:rsid w:val="00496662"/>
    <w:rsid w:val="00546769"/>
    <w:rsid w:val="00573E1A"/>
    <w:rsid w:val="00586D59"/>
    <w:rsid w:val="00695533"/>
    <w:rsid w:val="00697105"/>
    <w:rsid w:val="006C6992"/>
    <w:rsid w:val="007016CC"/>
    <w:rsid w:val="00707473"/>
    <w:rsid w:val="00764ACA"/>
    <w:rsid w:val="007A3DAA"/>
    <w:rsid w:val="007D4E5B"/>
    <w:rsid w:val="00821B4C"/>
    <w:rsid w:val="008C1C0D"/>
    <w:rsid w:val="008D3974"/>
    <w:rsid w:val="009C779C"/>
    <w:rsid w:val="009F2EE4"/>
    <w:rsid w:val="00A17C78"/>
    <w:rsid w:val="00A6421D"/>
    <w:rsid w:val="00B402AF"/>
    <w:rsid w:val="00BC1B84"/>
    <w:rsid w:val="00BD438B"/>
    <w:rsid w:val="00BD6446"/>
    <w:rsid w:val="00C723FD"/>
    <w:rsid w:val="00CA2F56"/>
    <w:rsid w:val="00CA5FAC"/>
    <w:rsid w:val="00D67A69"/>
    <w:rsid w:val="00D761BF"/>
    <w:rsid w:val="00D85DA9"/>
    <w:rsid w:val="00D90AB3"/>
    <w:rsid w:val="00D91627"/>
    <w:rsid w:val="00DD5862"/>
    <w:rsid w:val="00DD787F"/>
    <w:rsid w:val="00EC0403"/>
    <w:rsid w:val="00F10B07"/>
    <w:rsid w:val="00F27398"/>
    <w:rsid w:val="00FA49DB"/>
    <w:rsid w:val="00FB1578"/>
    <w:rsid w:val="00FD309E"/>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21D"/>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3718"/>
    <w:pPr>
      <w:ind w:left="720"/>
    </w:pPr>
  </w:style>
  <w:style w:type="character" w:styleId="Hyperlink">
    <w:name w:val="Hyperlink"/>
    <w:basedOn w:val="DefaultParagraphFont"/>
    <w:uiPriority w:val="99"/>
    <w:rsid w:val="00695533"/>
    <w:rPr>
      <w:color w:val="0000FF"/>
      <w:u w:val="single"/>
    </w:rPr>
  </w:style>
  <w:style w:type="character" w:styleId="IntenseReference">
    <w:name w:val="Intense Reference"/>
    <w:basedOn w:val="DefaultParagraphFont"/>
    <w:uiPriority w:val="99"/>
    <w:qFormat/>
    <w:rsid w:val="00695533"/>
    <w:rPr>
      <w:b/>
      <w:bCs/>
      <w:smallCaps/>
      <w:color w:val="C0504D"/>
      <w:spacing w:val="5"/>
      <w:u w:val="single"/>
    </w:rPr>
  </w:style>
  <w:style w:type="paragraph" w:styleId="NormalWeb">
    <w:name w:val="Normal (Web)"/>
    <w:basedOn w:val="Normal"/>
    <w:uiPriority w:val="99"/>
    <w:rsid w:val="0069553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Header">
    <w:name w:val="header"/>
    <w:basedOn w:val="Normal"/>
    <w:link w:val="HeaderChar"/>
    <w:uiPriority w:val="99"/>
    <w:rsid w:val="009F2EE4"/>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9F2EE4"/>
  </w:style>
  <w:style w:type="paragraph" w:styleId="Footer">
    <w:name w:val="footer"/>
    <w:basedOn w:val="Normal"/>
    <w:link w:val="FooterChar"/>
    <w:uiPriority w:val="99"/>
    <w:semiHidden/>
    <w:rsid w:val="009F2EE4"/>
    <w:pPr>
      <w:tabs>
        <w:tab w:val="center" w:pos="4252"/>
        <w:tab w:val="right" w:pos="8504"/>
      </w:tabs>
      <w:spacing w:after="0" w:line="240" w:lineRule="auto"/>
    </w:pPr>
  </w:style>
  <w:style w:type="character" w:customStyle="1" w:styleId="FooterChar">
    <w:name w:val="Footer Char"/>
    <w:basedOn w:val="DefaultParagraphFont"/>
    <w:link w:val="Footer"/>
    <w:uiPriority w:val="99"/>
    <w:semiHidden/>
    <w:locked/>
    <w:rsid w:val="009F2EE4"/>
  </w:style>
  <w:style w:type="paragraph" w:styleId="BalloonText">
    <w:name w:val="Balloon Text"/>
    <w:basedOn w:val="Normal"/>
    <w:link w:val="BalloonTextChar"/>
    <w:uiPriority w:val="99"/>
    <w:semiHidden/>
    <w:rsid w:val="009F2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2EE4"/>
    <w:rPr>
      <w:rFonts w:ascii="Tahoma" w:hAnsi="Tahoma" w:cs="Tahoma"/>
      <w:sz w:val="16"/>
      <w:szCs w:val="16"/>
    </w:rPr>
  </w:style>
  <w:style w:type="table" w:styleId="TableGrid">
    <w:name w:val="Table Grid"/>
    <w:basedOn w:val="TableNormal"/>
    <w:uiPriority w:val="99"/>
    <w:rsid w:val="00234375"/>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erraniev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fef.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epontevedra.e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11</Pages>
  <Words>3065</Words>
  <Characters>16863</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COOPERACION TRANSNACIONAL RED XANA</dc:title>
  <dc:subject/>
  <dc:creator>raquelg</dc:creator>
  <cp:keywords/>
  <dc:description/>
  <cp:lastModifiedBy>Isabel</cp:lastModifiedBy>
  <cp:revision>4</cp:revision>
  <dcterms:created xsi:type="dcterms:W3CDTF">2010-11-30T12:45:00Z</dcterms:created>
  <dcterms:modified xsi:type="dcterms:W3CDTF">2012-02-17T13:18:00Z</dcterms:modified>
</cp:coreProperties>
</file>